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3C72D" w14:textId="79D0B0D9" w:rsidR="00AB659C" w:rsidRPr="00AA0A75" w:rsidRDefault="00721AE8" w:rsidP="00AA0A75">
      <w:pPr>
        <w:keepNext/>
        <w:keepLines/>
        <w:widowControl w:val="0"/>
        <w:spacing w:line="240" w:lineRule="auto"/>
        <w:jc w:val="both"/>
        <w:rPr>
          <w:rFonts w:ascii="Century Gothic" w:hAnsi="Century Gothic"/>
          <w:b/>
          <w:caps/>
          <w:sz w:val="20"/>
        </w:rPr>
      </w:pPr>
      <w:r w:rsidRPr="00AA0A75">
        <w:rPr>
          <w:rFonts w:ascii="Century Gothic" w:hAnsi="Century Gothic"/>
          <w:b/>
          <w:caps/>
          <w:sz w:val="20"/>
        </w:rPr>
        <w:t>DIGITAL FINANCE RESEARCH</w:t>
      </w:r>
      <w:r w:rsidR="00037DEB" w:rsidRPr="00AA0A75">
        <w:rPr>
          <w:rFonts w:ascii="Century Gothic" w:hAnsi="Century Gothic"/>
          <w:b/>
          <w:caps/>
          <w:sz w:val="20"/>
        </w:rPr>
        <w:t xml:space="preserve"> CONSULTANT</w:t>
      </w:r>
    </w:p>
    <w:p w14:paraId="463FE59C" w14:textId="77777777" w:rsidR="00F14363" w:rsidRPr="00AA0A75" w:rsidRDefault="00F14363" w:rsidP="00AA0A75">
      <w:pPr>
        <w:keepNext/>
        <w:keepLines/>
        <w:widowControl w:val="0"/>
        <w:spacing w:line="240" w:lineRule="auto"/>
        <w:jc w:val="both"/>
        <w:rPr>
          <w:rFonts w:ascii="Century Gothic" w:hAnsi="Century Gothic"/>
          <w:b/>
          <w:caps/>
          <w:sz w:val="20"/>
        </w:rPr>
      </w:pPr>
    </w:p>
    <w:p w14:paraId="0677B728" w14:textId="77777777" w:rsidR="00AB659C" w:rsidRPr="00AA0A75" w:rsidRDefault="00AB659C" w:rsidP="00AA0A75">
      <w:pPr>
        <w:keepNext/>
        <w:keepLines/>
        <w:widowControl w:val="0"/>
        <w:numPr>
          <w:ilvl w:val="0"/>
          <w:numId w:val="1"/>
        </w:numPr>
        <w:tabs>
          <w:tab w:val="num" w:pos="360"/>
        </w:tabs>
        <w:spacing w:line="240" w:lineRule="auto"/>
        <w:ind w:left="360"/>
        <w:jc w:val="both"/>
        <w:rPr>
          <w:rFonts w:ascii="Century Gothic" w:hAnsi="Century Gothic"/>
          <w:b/>
          <w:caps/>
          <w:sz w:val="20"/>
        </w:rPr>
      </w:pPr>
      <w:r w:rsidRPr="00AA0A75">
        <w:rPr>
          <w:rFonts w:ascii="Century Gothic" w:hAnsi="Century Gothic"/>
          <w:b/>
          <w:caps/>
          <w:sz w:val="20"/>
        </w:rPr>
        <w:t>Background</w:t>
      </w:r>
    </w:p>
    <w:p w14:paraId="39BA212B" w14:textId="77777777" w:rsidR="00AB659C" w:rsidRPr="00AA0A75" w:rsidRDefault="00AB659C" w:rsidP="00AA0A75">
      <w:pPr>
        <w:spacing w:line="240" w:lineRule="auto"/>
        <w:jc w:val="both"/>
        <w:rPr>
          <w:rFonts w:ascii="Century Gothic" w:hAnsi="Century Gothic"/>
          <w:sz w:val="20"/>
        </w:rPr>
      </w:pPr>
    </w:p>
    <w:p w14:paraId="406C036C" w14:textId="77777777" w:rsidR="00212C8C" w:rsidRPr="00AA0A75" w:rsidRDefault="00212C8C" w:rsidP="00AA0A75">
      <w:pPr>
        <w:spacing w:line="240" w:lineRule="auto"/>
        <w:jc w:val="both"/>
        <w:rPr>
          <w:rFonts w:ascii="Century Gothic" w:hAnsi="Century Gothic"/>
          <w:b/>
          <w:bCs/>
          <w:sz w:val="20"/>
        </w:rPr>
      </w:pPr>
      <w:r w:rsidRPr="00AA0A75">
        <w:rPr>
          <w:rFonts w:ascii="Century Gothic" w:hAnsi="Century Gothic"/>
          <w:b/>
          <w:sz w:val="20"/>
        </w:rPr>
        <w:t>FSD Kenya and its current strategy</w:t>
      </w:r>
    </w:p>
    <w:p w14:paraId="0ACC0D7F" w14:textId="77777777" w:rsidR="00212C8C" w:rsidRPr="00AA0A75" w:rsidRDefault="00212C8C" w:rsidP="00AA0A75">
      <w:pPr>
        <w:spacing w:line="240" w:lineRule="auto"/>
        <w:jc w:val="both"/>
        <w:rPr>
          <w:rFonts w:ascii="Century Gothic" w:hAnsi="Century Gothic"/>
          <w:sz w:val="20"/>
        </w:rPr>
      </w:pPr>
    </w:p>
    <w:p w14:paraId="0C48676D" w14:textId="757B2487" w:rsidR="00212C8C" w:rsidRPr="00AA0A75" w:rsidRDefault="00212C8C" w:rsidP="00AA0A75">
      <w:pPr>
        <w:spacing w:line="240" w:lineRule="auto"/>
        <w:jc w:val="both"/>
        <w:rPr>
          <w:rFonts w:ascii="Century Gothic" w:hAnsi="Century Gothic"/>
          <w:sz w:val="20"/>
        </w:rPr>
      </w:pPr>
      <w:r w:rsidRPr="00AA0A75">
        <w:rPr>
          <w:rFonts w:ascii="Century Gothic" w:hAnsi="Century Gothic"/>
          <w:sz w:val="20"/>
        </w:rPr>
        <w:t xml:space="preserve">The Financial Sector Deepening Kenya (FSD Kenya) is an independent Trust dedicated to the achievement of a financial system that delivers value for a green and inclusive digital economy, while improving financial health and capability for women and micro and small enterprises (MSEs). FSD works closely with Government, the financial services </w:t>
      </w:r>
      <w:proofErr w:type="gramStart"/>
      <w:r w:rsidRPr="00AA0A75">
        <w:rPr>
          <w:rFonts w:ascii="Century Gothic" w:hAnsi="Century Gothic"/>
          <w:sz w:val="20"/>
        </w:rPr>
        <w:t>industry</w:t>
      </w:r>
      <w:proofErr w:type="gramEnd"/>
      <w:r w:rsidRPr="00AA0A75">
        <w:rPr>
          <w:rFonts w:ascii="Century Gothic" w:hAnsi="Century Gothic"/>
          <w:sz w:val="20"/>
        </w:rPr>
        <w:t xml:space="preserve"> and other partners to develop financial solutions that better address the real-world challenges faced by low-income households, enterprises and underserved groups such as women and youth. FSD’s current strategy (2022 – 2026) sets to contribute to the development of a financial market offering useful, affordable, and trusted financial solutions for Kenyans and Kenyan enterprises, especially for women and micro and small enterprises. The strategy focuses on shifting 3 key functions of the financial market towards more inclusive finance. These functions are effective policy, regulation and vision, open financial market infrastructure and value adding financial solutions. R</w:t>
      </w:r>
      <w:r w:rsidRPr="00AA0A75">
        <w:rPr>
          <w:rFonts w:ascii="Century Gothic" w:hAnsi="Century Gothic" w:cs="Arial"/>
          <w:color w:val="000000" w:themeColor="text1"/>
          <w:sz w:val="20"/>
        </w:rPr>
        <w:t xml:space="preserve">emittances is recognised as a key enabler to achieving Kenya’s long-term development goals </w:t>
      </w:r>
      <w:r w:rsidR="55531472" w:rsidRPr="00AA0A75">
        <w:rPr>
          <w:rFonts w:ascii="Century Gothic" w:eastAsia="Century Gothic" w:hAnsi="Century Gothic" w:cs="Century Gothic"/>
          <w:color w:val="000000" w:themeColor="text1"/>
          <w:sz w:val="20"/>
        </w:rPr>
        <w:t xml:space="preserve">as they enable socio-economic growth and transformation of livelihoods through their wide reach, especially to low-income households and rural populations. These flows enable livelihoods to manage day-to-day and increase their resilience through covering medical, </w:t>
      </w:r>
      <w:proofErr w:type="gramStart"/>
      <w:r w:rsidR="55531472" w:rsidRPr="00AA0A75">
        <w:rPr>
          <w:rFonts w:ascii="Century Gothic" w:eastAsia="Century Gothic" w:hAnsi="Century Gothic" w:cs="Century Gothic"/>
          <w:color w:val="000000" w:themeColor="text1"/>
          <w:sz w:val="20"/>
        </w:rPr>
        <w:t>educational</w:t>
      </w:r>
      <w:proofErr w:type="gramEnd"/>
      <w:r w:rsidR="55531472" w:rsidRPr="00AA0A75">
        <w:rPr>
          <w:rFonts w:ascii="Century Gothic" w:eastAsia="Century Gothic" w:hAnsi="Century Gothic" w:cs="Century Gothic"/>
          <w:color w:val="000000" w:themeColor="text1"/>
          <w:sz w:val="20"/>
        </w:rPr>
        <w:t xml:space="preserve"> and housing expenses as well as covering various emergencies such as crop failure and emergency medical treatment. They are also used to start and sustain small businesses. </w:t>
      </w:r>
      <w:r w:rsidR="55531472" w:rsidRPr="00AA0A75">
        <w:rPr>
          <w:rFonts w:ascii="Century Gothic" w:eastAsia="Century Gothic" w:hAnsi="Century Gothic" w:cs="Century Gothic"/>
          <w:sz w:val="20"/>
        </w:rPr>
        <w:t xml:space="preserve"> </w:t>
      </w:r>
    </w:p>
    <w:p w14:paraId="7CBE2DE7" w14:textId="77777777" w:rsidR="00212C8C" w:rsidRPr="00AA0A75" w:rsidRDefault="00212C8C" w:rsidP="00AA0A75">
      <w:pPr>
        <w:spacing w:line="240" w:lineRule="auto"/>
        <w:jc w:val="both"/>
        <w:rPr>
          <w:rFonts w:ascii="Century Gothic" w:hAnsi="Century Gothic"/>
          <w:sz w:val="20"/>
        </w:rPr>
      </w:pPr>
    </w:p>
    <w:p w14:paraId="26F401B0" w14:textId="77777777" w:rsidR="00212C8C" w:rsidRPr="00AA0A75" w:rsidRDefault="00212C8C" w:rsidP="00AA0A75">
      <w:pPr>
        <w:spacing w:line="240" w:lineRule="auto"/>
        <w:jc w:val="both"/>
        <w:rPr>
          <w:rFonts w:ascii="Century Gothic" w:hAnsi="Century Gothic"/>
          <w:b/>
          <w:sz w:val="20"/>
        </w:rPr>
      </w:pPr>
      <w:r w:rsidRPr="00AA0A75">
        <w:rPr>
          <w:rFonts w:ascii="Century Gothic" w:hAnsi="Century Gothic"/>
          <w:b/>
          <w:sz w:val="20"/>
        </w:rPr>
        <w:t>IFAD and the PRIME - Africa programme</w:t>
      </w:r>
    </w:p>
    <w:p w14:paraId="79F17FB2" w14:textId="77777777" w:rsidR="00212C8C" w:rsidRPr="00AA0A75" w:rsidRDefault="00212C8C" w:rsidP="00AA0A75">
      <w:pPr>
        <w:spacing w:line="240" w:lineRule="auto"/>
        <w:jc w:val="both"/>
        <w:rPr>
          <w:rFonts w:ascii="Century Gothic" w:hAnsi="Century Gothic"/>
          <w:sz w:val="20"/>
        </w:rPr>
      </w:pPr>
    </w:p>
    <w:p w14:paraId="40BCC9CC" w14:textId="77777777" w:rsidR="00212C8C" w:rsidRPr="00AA0A75" w:rsidRDefault="00212C8C" w:rsidP="00AA0A75">
      <w:pPr>
        <w:spacing w:line="240" w:lineRule="auto"/>
        <w:jc w:val="both"/>
        <w:rPr>
          <w:rFonts w:ascii="Century Gothic" w:hAnsi="Century Gothic"/>
          <w:sz w:val="20"/>
        </w:rPr>
      </w:pPr>
      <w:r w:rsidRPr="00AA0A75">
        <w:rPr>
          <w:rFonts w:ascii="Century Gothic" w:hAnsi="Century Gothic"/>
          <w:sz w:val="20"/>
        </w:rPr>
        <w:t>The International Fund for Agricultural Development (IFAD) has an on-going programme, PRIME Africa - the Platform for Remittances, Investments and Migrants’ Entrepreneurship, which focuses on seven African countries (including Kenya). The main objectives of PRIME Africa are to support the cost reduction of diaspora remittances, increase digitisation of the international remittances, foster the adoption of remittances formal channels, and increase the financial inclusion use cases through remittances. The project produced a diagnostic on the Kenyan remittance market in 2021, as well as an accompanying roadmap to guide activities to help make improvements to the market. The implementation activities following this include interventions that support both the private and public sector players.</w:t>
      </w:r>
    </w:p>
    <w:p w14:paraId="259673F3" w14:textId="77777777" w:rsidR="00212C8C" w:rsidRPr="00AA0A75" w:rsidRDefault="00212C8C" w:rsidP="00AA0A75">
      <w:pPr>
        <w:spacing w:line="240" w:lineRule="auto"/>
        <w:jc w:val="both"/>
        <w:rPr>
          <w:rFonts w:ascii="Century Gothic" w:hAnsi="Century Gothic"/>
          <w:sz w:val="20"/>
        </w:rPr>
      </w:pPr>
    </w:p>
    <w:p w14:paraId="17EAE6C7" w14:textId="77777777" w:rsidR="00212C8C" w:rsidRPr="00AA0A75" w:rsidRDefault="00212C8C" w:rsidP="00AA0A75">
      <w:pPr>
        <w:spacing w:line="240" w:lineRule="auto"/>
        <w:jc w:val="both"/>
        <w:rPr>
          <w:rFonts w:ascii="Century Gothic" w:hAnsi="Century Gothic"/>
          <w:b/>
          <w:sz w:val="20"/>
        </w:rPr>
      </w:pPr>
      <w:r w:rsidRPr="00AA0A75">
        <w:rPr>
          <w:rFonts w:ascii="Century Gothic" w:hAnsi="Century Gothic"/>
          <w:b/>
          <w:sz w:val="20"/>
        </w:rPr>
        <w:t>Role of SACCOs in remittances</w:t>
      </w:r>
    </w:p>
    <w:p w14:paraId="29A42E4C" w14:textId="77777777" w:rsidR="00212C8C" w:rsidRPr="00AA0A75" w:rsidRDefault="00212C8C" w:rsidP="00AA0A75">
      <w:pPr>
        <w:spacing w:line="240" w:lineRule="auto"/>
        <w:jc w:val="both"/>
        <w:rPr>
          <w:rFonts w:ascii="Century Gothic" w:hAnsi="Century Gothic"/>
          <w:sz w:val="20"/>
        </w:rPr>
      </w:pPr>
    </w:p>
    <w:p w14:paraId="1A90D076" w14:textId="77777777" w:rsidR="00212C8C" w:rsidRPr="00AA0A75" w:rsidRDefault="00212C8C" w:rsidP="00AA0A75">
      <w:pPr>
        <w:spacing w:line="240" w:lineRule="auto"/>
        <w:jc w:val="both"/>
        <w:rPr>
          <w:rFonts w:ascii="Century Gothic" w:hAnsi="Century Gothic"/>
          <w:sz w:val="20"/>
        </w:rPr>
      </w:pPr>
      <w:r w:rsidRPr="00AA0A75">
        <w:rPr>
          <w:rFonts w:ascii="Century Gothic" w:hAnsi="Century Gothic"/>
          <w:color w:val="000000" w:themeColor="text1"/>
          <w:sz w:val="20"/>
        </w:rPr>
        <w:t xml:space="preserve">Remittances are important for Kenya and is an area that has been receiving increased attention in recent years. In many ways, Kenya has been seen as the ‘poster child of digital diaspora remittances, due, in many ways, to the widespread adoption of M-Pesa domestically since 2007. Kenya is a net receiver of remittances. According to the Central Bank of Kenya, official data shows that inbound remittances to Kenya totalled </w:t>
      </w:r>
      <w:r w:rsidRPr="00AA0A75">
        <w:rPr>
          <w:rFonts w:ascii="Century Gothic" w:hAnsi="Century Gothic"/>
          <w:sz w:val="20"/>
        </w:rPr>
        <w:t>USD 3.7 billion in 2021,</w:t>
      </w:r>
      <w:r w:rsidRPr="00AA0A75">
        <w:rPr>
          <w:rFonts w:ascii="Century Gothic" w:hAnsi="Century Gothic"/>
          <w:color w:val="000000" w:themeColor="text1"/>
          <w:sz w:val="20"/>
        </w:rPr>
        <w:t xml:space="preserve"> </w:t>
      </w:r>
      <w:r w:rsidRPr="00AA0A75">
        <w:rPr>
          <w:rFonts w:ascii="Century Gothic" w:hAnsi="Century Gothic"/>
          <w:sz w:val="20"/>
        </w:rPr>
        <w:t xml:space="preserve">accounting for over 3 percent of GDP. Despite the progress that has been seen, there are still challenges with the remittance market in Kenya, with cost being a major barrier.  Other challenges include lack of publicly available data that provides granular detail concerning flows, the channels used, who is using them, what their motivation is and what the money is used for; it is believed that there are large flows of informal remittances both into and from Kenya which by-pass the formal channels; and little is known about Kenya as a remittance-sending market. Further improvements could be made to assist financial inclusion if there were more physical networks in rural areas and other types of financial institutions, such as Savings and Credit Cooperative Societies (SACCOs) </w:t>
      </w:r>
      <w:r w:rsidRPr="00AA0A75">
        <w:rPr>
          <w:rFonts w:ascii="Century Gothic" w:hAnsi="Century Gothic"/>
          <w:color w:val="000000" w:themeColor="text1"/>
          <w:sz w:val="20"/>
        </w:rPr>
        <w:t xml:space="preserve">participating more in the remittances value chain; greater adoption of risk-based Anti-Money Laundering/Combating the Financing of Terrorism (AML-CFT) is needed; and little is known about the use of remittances by </w:t>
      </w:r>
      <w:proofErr w:type="spellStart"/>
      <w:r w:rsidRPr="00AA0A75">
        <w:rPr>
          <w:rFonts w:ascii="Century Gothic" w:hAnsi="Century Gothic"/>
          <w:color w:val="000000" w:themeColor="text1"/>
          <w:sz w:val="20"/>
        </w:rPr>
        <w:t>Mirco</w:t>
      </w:r>
      <w:proofErr w:type="spellEnd"/>
      <w:r w:rsidRPr="00AA0A75">
        <w:rPr>
          <w:rFonts w:ascii="Century Gothic" w:hAnsi="Century Gothic"/>
          <w:color w:val="000000" w:themeColor="text1"/>
          <w:sz w:val="20"/>
        </w:rPr>
        <w:t>, Small and Medium Enterprises (MSMEs).</w:t>
      </w:r>
    </w:p>
    <w:p w14:paraId="6CB96E3A" w14:textId="77777777" w:rsidR="00212C8C" w:rsidRPr="00AA0A75" w:rsidRDefault="00212C8C" w:rsidP="00AA0A75">
      <w:pPr>
        <w:spacing w:line="240" w:lineRule="auto"/>
        <w:jc w:val="both"/>
        <w:rPr>
          <w:rFonts w:ascii="Century Gothic" w:hAnsi="Century Gothic"/>
          <w:b/>
          <w:sz w:val="20"/>
        </w:rPr>
      </w:pPr>
      <w:r w:rsidRPr="00AA0A75">
        <w:rPr>
          <w:rFonts w:ascii="Century Gothic" w:hAnsi="Century Gothic"/>
          <w:b/>
          <w:sz w:val="20"/>
        </w:rPr>
        <w:lastRenderedPageBreak/>
        <w:t>The opportunity</w:t>
      </w:r>
    </w:p>
    <w:p w14:paraId="20C68628" w14:textId="77777777" w:rsidR="00212C8C" w:rsidRPr="00AA0A75" w:rsidRDefault="00212C8C" w:rsidP="00AA0A75">
      <w:pPr>
        <w:spacing w:line="240" w:lineRule="auto"/>
        <w:jc w:val="both"/>
        <w:rPr>
          <w:rFonts w:ascii="Century Gothic" w:hAnsi="Century Gothic"/>
          <w:sz w:val="20"/>
        </w:rPr>
      </w:pPr>
    </w:p>
    <w:p w14:paraId="7B157356" w14:textId="77777777" w:rsidR="00212C8C" w:rsidRPr="00AA0A75" w:rsidRDefault="00212C8C" w:rsidP="00AA0A75">
      <w:pPr>
        <w:spacing w:line="240" w:lineRule="auto"/>
        <w:jc w:val="both"/>
        <w:rPr>
          <w:rFonts w:ascii="Century Gothic" w:hAnsi="Century Gothic"/>
          <w:sz w:val="20"/>
        </w:rPr>
      </w:pPr>
      <w:r w:rsidRPr="00AA0A75">
        <w:rPr>
          <w:rFonts w:ascii="Century Gothic" w:hAnsi="Century Gothic"/>
          <w:sz w:val="20"/>
        </w:rPr>
        <w:t xml:space="preserve">Both IFAD and FSD recognise the role of SASRA as a significant player in the remittances market. There are currently over 500 SACCO pay points countrywide with some of the large SACCOs rivalling commercial banks in terms of asset size and capital base. Whilst SACCOs currently offer remittance services, it is through agency relationships with commercial banks and other PSPs, mainly FinTechs that leverage mobile money services. This is by design as SACCOs currently cannot participate directly in the national payments system and cannot handle forex transactions. The current arrangements have several limitations: (i) they create several intermediary layers which add costs to the transactions thus making it more expensive to the end consumers; (ii) the integrations through partners create multiple points which cause vulnerabilities in terms of system failures and cyber-attacks, and (iii) banks need to get approvals from CBK before partnering with SACCOs which in turn have to get an approval from their regulator, SASRA, before  partnering, leading to delays. These challenges limit the effectiveness of SACCOs as remittance providers. Addressing these challenges has the potential to: </w:t>
      </w:r>
    </w:p>
    <w:p w14:paraId="00F69D09" w14:textId="77777777" w:rsidR="00212C8C" w:rsidRPr="00AA0A75" w:rsidRDefault="00212C8C" w:rsidP="00AA0A75">
      <w:pPr>
        <w:spacing w:line="240" w:lineRule="auto"/>
        <w:jc w:val="both"/>
        <w:rPr>
          <w:rFonts w:ascii="Century Gothic" w:hAnsi="Century Gothic"/>
          <w:sz w:val="20"/>
        </w:rPr>
      </w:pPr>
    </w:p>
    <w:p w14:paraId="0FF3203D" w14:textId="77777777" w:rsidR="00212C8C" w:rsidRPr="00AA0A75" w:rsidRDefault="00212C8C" w:rsidP="00AA0A75">
      <w:pPr>
        <w:pStyle w:val="ListParagraph"/>
        <w:numPr>
          <w:ilvl w:val="0"/>
          <w:numId w:val="5"/>
        </w:numPr>
        <w:overflowPunct w:val="0"/>
        <w:autoSpaceDE w:val="0"/>
        <w:autoSpaceDN w:val="0"/>
        <w:adjustRightInd w:val="0"/>
        <w:spacing w:after="0" w:line="240" w:lineRule="auto"/>
        <w:jc w:val="both"/>
        <w:rPr>
          <w:rFonts w:ascii="Century Gothic" w:hAnsi="Century Gothic"/>
          <w:sz w:val="20"/>
          <w:szCs w:val="20"/>
        </w:rPr>
      </w:pPr>
      <w:r w:rsidRPr="00AA0A75">
        <w:rPr>
          <w:rFonts w:ascii="Century Gothic" w:hAnsi="Century Gothic"/>
          <w:sz w:val="20"/>
          <w:szCs w:val="20"/>
        </w:rPr>
        <w:t>Increase inclusive finance through efficient and effective transfers, including reduced costs.</w:t>
      </w:r>
    </w:p>
    <w:p w14:paraId="7D287FF3" w14:textId="77777777" w:rsidR="00212C8C" w:rsidRPr="00AA0A75" w:rsidRDefault="00212C8C" w:rsidP="00AA0A75">
      <w:pPr>
        <w:pStyle w:val="ListParagraph"/>
        <w:numPr>
          <w:ilvl w:val="0"/>
          <w:numId w:val="5"/>
        </w:numPr>
        <w:overflowPunct w:val="0"/>
        <w:autoSpaceDE w:val="0"/>
        <w:autoSpaceDN w:val="0"/>
        <w:adjustRightInd w:val="0"/>
        <w:spacing w:after="0" w:line="240" w:lineRule="auto"/>
        <w:jc w:val="both"/>
        <w:rPr>
          <w:rFonts w:ascii="Century Gothic" w:hAnsi="Century Gothic"/>
          <w:sz w:val="20"/>
          <w:szCs w:val="20"/>
        </w:rPr>
      </w:pPr>
      <w:r w:rsidRPr="00AA0A75">
        <w:rPr>
          <w:rFonts w:ascii="Century Gothic" w:hAnsi="Century Gothic"/>
          <w:sz w:val="20"/>
          <w:szCs w:val="20"/>
        </w:rPr>
        <w:t>Reduce the use of informal channels.</w:t>
      </w:r>
    </w:p>
    <w:p w14:paraId="15C19709" w14:textId="77777777" w:rsidR="00212C8C" w:rsidRPr="00AA0A75" w:rsidRDefault="00212C8C" w:rsidP="00AA0A75">
      <w:pPr>
        <w:pStyle w:val="ListParagraph"/>
        <w:numPr>
          <w:ilvl w:val="0"/>
          <w:numId w:val="5"/>
        </w:numPr>
        <w:overflowPunct w:val="0"/>
        <w:autoSpaceDE w:val="0"/>
        <w:autoSpaceDN w:val="0"/>
        <w:adjustRightInd w:val="0"/>
        <w:spacing w:after="0" w:line="240" w:lineRule="auto"/>
        <w:jc w:val="both"/>
        <w:rPr>
          <w:rFonts w:ascii="Century Gothic" w:hAnsi="Century Gothic"/>
          <w:sz w:val="20"/>
          <w:szCs w:val="20"/>
        </w:rPr>
      </w:pPr>
      <w:r w:rsidRPr="00AA0A75">
        <w:rPr>
          <w:rFonts w:ascii="Century Gothic" w:hAnsi="Century Gothic"/>
          <w:sz w:val="20"/>
          <w:szCs w:val="20"/>
        </w:rPr>
        <w:t>Increase networks into rural areas by linking remittances with the financial services used by rural, low-income people such as women.</w:t>
      </w:r>
    </w:p>
    <w:p w14:paraId="3ECBF8FB" w14:textId="77777777" w:rsidR="00212C8C" w:rsidRPr="00AA0A75" w:rsidRDefault="00212C8C" w:rsidP="00AA0A75">
      <w:pPr>
        <w:spacing w:line="240" w:lineRule="auto"/>
        <w:jc w:val="both"/>
        <w:rPr>
          <w:rFonts w:ascii="Century Gothic" w:hAnsi="Century Gothic"/>
          <w:sz w:val="20"/>
        </w:rPr>
      </w:pPr>
    </w:p>
    <w:p w14:paraId="321B7E51" w14:textId="77777777" w:rsidR="00212C8C" w:rsidRPr="00AA0A75" w:rsidRDefault="00212C8C" w:rsidP="00AA0A75">
      <w:pPr>
        <w:spacing w:line="240" w:lineRule="auto"/>
        <w:jc w:val="both"/>
        <w:rPr>
          <w:rFonts w:ascii="Century Gothic" w:hAnsi="Century Gothic"/>
          <w:sz w:val="20"/>
        </w:rPr>
      </w:pPr>
      <w:r w:rsidRPr="00AA0A75">
        <w:rPr>
          <w:rFonts w:ascii="Century Gothic" w:hAnsi="Century Gothic"/>
          <w:sz w:val="20"/>
        </w:rPr>
        <w:t xml:space="preserve">To get a better understanding of the SACCO remittances landscape it is vital that research is undertaken. This would unveil opportunities that can inform how policies and private sector strategies could be shaped for enhancing the role of SACCOs in delivering remittances to support inclusive finance, especially for the Kenyan rural population. FSD Kenya, through funding from IFAD, seeks to recruit a digital finance research specialist to undertake in depth primary and secondary research of the SACCO ecosystem. The focus of the research is on identifying opportunities for remittances, working closely with a financial sector regulations specialist and the project manager. The ideal candidate must have in depth understanding of the SACCO sector and the payments ecosystem of Kenya. These terms of reference (ToRs) outline the scope of work for the </w:t>
      </w:r>
      <w:r w:rsidRPr="00AA0A75">
        <w:rPr>
          <w:rFonts w:ascii="Century Gothic" w:hAnsi="Century Gothic"/>
          <w:b/>
          <w:bCs/>
          <w:sz w:val="20"/>
        </w:rPr>
        <w:t>digital finance research specialist</w:t>
      </w:r>
      <w:r w:rsidRPr="00AA0A75">
        <w:rPr>
          <w:rFonts w:ascii="Century Gothic" w:hAnsi="Century Gothic"/>
          <w:sz w:val="20"/>
        </w:rPr>
        <w:t>.</w:t>
      </w:r>
    </w:p>
    <w:p w14:paraId="4A3308F7" w14:textId="77777777" w:rsidR="00212C8C" w:rsidRPr="00AA0A75" w:rsidRDefault="00212C8C" w:rsidP="00AA0A75">
      <w:pPr>
        <w:spacing w:line="240" w:lineRule="auto"/>
        <w:jc w:val="both"/>
        <w:rPr>
          <w:rFonts w:ascii="Century Gothic" w:hAnsi="Century Gothic"/>
          <w:sz w:val="20"/>
        </w:rPr>
      </w:pPr>
    </w:p>
    <w:p w14:paraId="22EBD981" w14:textId="77777777" w:rsidR="00212C8C" w:rsidRPr="00AA0A75" w:rsidRDefault="00212C8C" w:rsidP="00AA0A75">
      <w:pPr>
        <w:keepNext/>
        <w:keepLines/>
        <w:widowControl w:val="0"/>
        <w:numPr>
          <w:ilvl w:val="0"/>
          <w:numId w:val="1"/>
        </w:numPr>
        <w:tabs>
          <w:tab w:val="num" w:pos="360"/>
        </w:tabs>
        <w:spacing w:line="240" w:lineRule="auto"/>
        <w:ind w:left="360"/>
        <w:jc w:val="both"/>
        <w:rPr>
          <w:rFonts w:ascii="Century Gothic" w:hAnsi="Century Gothic"/>
          <w:b/>
          <w:caps/>
          <w:sz w:val="20"/>
        </w:rPr>
      </w:pPr>
      <w:r w:rsidRPr="00AA0A75">
        <w:rPr>
          <w:rFonts w:ascii="Century Gothic" w:hAnsi="Century Gothic"/>
          <w:b/>
          <w:caps/>
          <w:sz w:val="20"/>
        </w:rPr>
        <w:t>OBJECTIVE</w:t>
      </w:r>
    </w:p>
    <w:p w14:paraId="4D03E14F" w14:textId="77777777" w:rsidR="00212C8C" w:rsidRPr="00AA0A75" w:rsidRDefault="00212C8C" w:rsidP="00AA0A75">
      <w:pPr>
        <w:spacing w:line="240" w:lineRule="auto"/>
        <w:jc w:val="both"/>
        <w:rPr>
          <w:rFonts w:ascii="Century Gothic" w:hAnsi="Century Gothic"/>
          <w:sz w:val="20"/>
        </w:rPr>
      </w:pPr>
    </w:p>
    <w:p w14:paraId="28E77D6D" w14:textId="77777777" w:rsidR="00212C8C" w:rsidRPr="00AA0A75" w:rsidRDefault="00212C8C" w:rsidP="00AA0A75">
      <w:pPr>
        <w:spacing w:line="240" w:lineRule="auto"/>
        <w:jc w:val="both"/>
        <w:rPr>
          <w:rFonts w:ascii="Century Gothic" w:hAnsi="Century Gothic"/>
          <w:sz w:val="20"/>
        </w:rPr>
      </w:pPr>
      <w:r w:rsidRPr="00AA0A75">
        <w:rPr>
          <w:rFonts w:ascii="Century Gothic" w:hAnsi="Century Gothic"/>
          <w:sz w:val="20"/>
        </w:rPr>
        <w:t xml:space="preserve">To undertake research that provides insights that will support SASRA to come up with informed policies and identify sector strategies for enhancing the role of SACCOs in delivering inclusive remittances solutions. </w:t>
      </w:r>
    </w:p>
    <w:p w14:paraId="53C37D63" w14:textId="77777777" w:rsidR="00212C8C" w:rsidRPr="00AA0A75" w:rsidRDefault="00212C8C" w:rsidP="00AA0A75">
      <w:pPr>
        <w:spacing w:line="240" w:lineRule="auto"/>
        <w:jc w:val="both"/>
        <w:rPr>
          <w:rFonts w:ascii="Century Gothic" w:hAnsi="Century Gothic"/>
          <w:sz w:val="20"/>
        </w:rPr>
      </w:pPr>
    </w:p>
    <w:p w14:paraId="0DAE210D" w14:textId="77777777" w:rsidR="00212C8C" w:rsidRPr="00AA0A75" w:rsidRDefault="00212C8C" w:rsidP="00AA0A75">
      <w:pPr>
        <w:pStyle w:val="Heading5"/>
        <w:numPr>
          <w:ilvl w:val="0"/>
          <w:numId w:val="4"/>
        </w:numPr>
        <w:tabs>
          <w:tab w:val="num" w:pos="720"/>
        </w:tabs>
        <w:spacing w:before="0" w:line="240" w:lineRule="auto"/>
        <w:ind w:left="720"/>
        <w:jc w:val="both"/>
        <w:rPr>
          <w:rFonts w:ascii="Century Gothic" w:hAnsi="Century Gothic"/>
          <w:sz w:val="20"/>
        </w:rPr>
      </w:pPr>
      <w:r w:rsidRPr="00AA0A75">
        <w:rPr>
          <w:rFonts w:ascii="Century Gothic" w:hAnsi="Century Gothic"/>
          <w:sz w:val="20"/>
        </w:rPr>
        <w:t>SCOPE OF WORK</w:t>
      </w:r>
    </w:p>
    <w:p w14:paraId="6C369A48" w14:textId="77777777" w:rsidR="00212C8C" w:rsidRPr="00AA0A75" w:rsidRDefault="00212C8C" w:rsidP="00AA0A75">
      <w:pPr>
        <w:spacing w:line="240" w:lineRule="auto"/>
        <w:jc w:val="both"/>
        <w:rPr>
          <w:rFonts w:ascii="Century Gothic" w:hAnsi="Century Gothic"/>
          <w:sz w:val="20"/>
        </w:rPr>
      </w:pPr>
    </w:p>
    <w:p w14:paraId="05C99C98" w14:textId="77777777" w:rsidR="00212C8C" w:rsidRPr="00AA0A75" w:rsidRDefault="00212C8C" w:rsidP="00AA0A75">
      <w:pPr>
        <w:spacing w:line="240" w:lineRule="auto"/>
        <w:jc w:val="both"/>
        <w:rPr>
          <w:rFonts w:ascii="Century Gothic" w:hAnsi="Century Gothic"/>
          <w:sz w:val="20"/>
        </w:rPr>
      </w:pPr>
      <w:r w:rsidRPr="00AA0A75">
        <w:rPr>
          <w:rFonts w:ascii="Century Gothic" w:hAnsi="Century Gothic"/>
          <w:sz w:val="20"/>
        </w:rPr>
        <w:t xml:space="preserve">The consultant will closely collaborate with the financial sector regulations specialist, the project </w:t>
      </w:r>
      <w:proofErr w:type="gramStart"/>
      <w:r w:rsidRPr="00AA0A75">
        <w:rPr>
          <w:rFonts w:ascii="Century Gothic" w:hAnsi="Century Gothic"/>
          <w:sz w:val="20"/>
        </w:rPr>
        <w:t>manager</w:t>
      </w:r>
      <w:proofErr w:type="gramEnd"/>
      <w:r w:rsidRPr="00AA0A75">
        <w:rPr>
          <w:rFonts w:ascii="Century Gothic" w:hAnsi="Century Gothic"/>
          <w:sz w:val="20"/>
        </w:rPr>
        <w:t xml:space="preserve"> and the project team from SASRA and FSD Kenya throughout the research cycle. </w:t>
      </w:r>
    </w:p>
    <w:p w14:paraId="22891E01" w14:textId="77777777" w:rsidR="00212C8C" w:rsidRPr="00AA0A75" w:rsidRDefault="00212C8C" w:rsidP="00AA0A75">
      <w:pPr>
        <w:spacing w:line="240" w:lineRule="auto"/>
        <w:jc w:val="both"/>
        <w:rPr>
          <w:rFonts w:ascii="Century Gothic" w:hAnsi="Century Gothic"/>
          <w:sz w:val="20"/>
        </w:rPr>
      </w:pPr>
    </w:p>
    <w:p w14:paraId="0150DB58" w14:textId="77777777" w:rsidR="00212C8C" w:rsidRPr="00AA0A75" w:rsidRDefault="00212C8C" w:rsidP="00AA0A75">
      <w:pPr>
        <w:spacing w:line="240" w:lineRule="auto"/>
        <w:jc w:val="both"/>
        <w:rPr>
          <w:rFonts w:ascii="Century Gothic" w:hAnsi="Century Gothic"/>
          <w:sz w:val="20"/>
        </w:rPr>
      </w:pPr>
      <w:r w:rsidRPr="00AA0A75">
        <w:rPr>
          <w:rFonts w:ascii="Century Gothic" w:hAnsi="Century Gothic"/>
          <w:sz w:val="20"/>
        </w:rPr>
        <w:t xml:space="preserve">The project will have 2 key components. </w:t>
      </w:r>
    </w:p>
    <w:p w14:paraId="15FB5D51" w14:textId="77777777" w:rsidR="00212C8C" w:rsidRPr="00AA0A75" w:rsidRDefault="00212C8C" w:rsidP="00AA0A75">
      <w:pPr>
        <w:spacing w:line="240" w:lineRule="auto"/>
        <w:jc w:val="both"/>
        <w:rPr>
          <w:rFonts w:ascii="Century Gothic" w:hAnsi="Century Gothic"/>
          <w:sz w:val="20"/>
        </w:rPr>
      </w:pPr>
    </w:p>
    <w:p w14:paraId="6737B58E" w14:textId="77777777" w:rsidR="00212C8C" w:rsidRPr="00AA0A75" w:rsidRDefault="00212C8C" w:rsidP="00AA0A75">
      <w:pPr>
        <w:pStyle w:val="ListParagraph"/>
        <w:widowControl w:val="0"/>
        <w:numPr>
          <w:ilvl w:val="0"/>
          <w:numId w:val="6"/>
        </w:numPr>
        <w:overflowPunct w:val="0"/>
        <w:autoSpaceDE w:val="0"/>
        <w:autoSpaceDN w:val="0"/>
        <w:adjustRightInd w:val="0"/>
        <w:spacing w:after="0" w:line="240" w:lineRule="auto"/>
        <w:jc w:val="both"/>
        <w:rPr>
          <w:rFonts w:ascii="Century Gothic" w:hAnsi="Century Gothic"/>
          <w:sz w:val="20"/>
          <w:szCs w:val="20"/>
        </w:rPr>
      </w:pPr>
      <w:r w:rsidRPr="00AA0A75">
        <w:rPr>
          <w:rFonts w:ascii="Century Gothic" w:hAnsi="Century Gothic"/>
          <w:sz w:val="20"/>
          <w:szCs w:val="20"/>
        </w:rPr>
        <w:t>The first component will involve demand-side, supply-side and regulatory assessment. Research specialist will only focus on the demand-side and supply-side assessment but work closely with the financial sector regulations specialist.</w:t>
      </w:r>
    </w:p>
    <w:p w14:paraId="5F3CF8B7" w14:textId="77777777" w:rsidR="00212C8C" w:rsidRPr="00AA0A75" w:rsidRDefault="00212C8C" w:rsidP="00AA0A75">
      <w:pPr>
        <w:spacing w:line="240" w:lineRule="auto"/>
        <w:jc w:val="both"/>
        <w:rPr>
          <w:rFonts w:ascii="Century Gothic" w:hAnsi="Century Gothic"/>
          <w:sz w:val="20"/>
        </w:rPr>
      </w:pPr>
    </w:p>
    <w:p w14:paraId="411E6AD5" w14:textId="77777777" w:rsidR="00212C8C" w:rsidRPr="00AA0A75" w:rsidRDefault="00212C8C" w:rsidP="00AA0A75">
      <w:pPr>
        <w:pStyle w:val="ListParagraph"/>
        <w:widowControl w:val="0"/>
        <w:numPr>
          <w:ilvl w:val="0"/>
          <w:numId w:val="6"/>
        </w:numPr>
        <w:overflowPunct w:val="0"/>
        <w:autoSpaceDE w:val="0"/>
        <w:autoSpaceDN w:val="0"/>
        <w:adjustRightInd w:val="0"/>
        <w:spacing w:after="0" w:line="240" w:lineRule="auto"/>
        <w:jc w:val="both"/>
        <w:rPr>
          <w:rFonts w:ascii="Century Gothic" w:hAnsi="Century Gothic"/>
          <w:sz w:val="20"/>
          <w:szCs w:val="20"/>
        </w:rPr>
      </w:pPr>
      <w:r w:rsidRPr="00AA0A75">
        <w:rPr>
          <w:rFonts w:ascii="Century Gothic" w:hAnsi="Century Gothic"/>
          <w:sz w:val="20"/>
          <w:szCs w:val="20"/>
        </w:rPr>
        <w:t xml:space="preserve">The second component will involve consolidating the research findings and disseminating these to relevant stakeholders. This will also include driving the use of the insights and recommendations for selected innovations such as the Shared SACCO </w:t>
      </w:r>
      <w:r w:rsidRPr="00AA0A75">
        <w:rPr>
          <w:rFonts w:ascii="Century Gothic" w:hAnsi="Century Gothic"/>
          <w:sz w:val="20"/>
          <w:szCs w:val="20"/>
        </w:rPr>
        <w:lastRenderedPageBreak/>
        <w:t>platform</w:t>
      </w:r>
      <w:r w:rsidRPr="00AA0A75">
        <w:rPr>
          <w:rStyle w:val="FootnoteReference"/>
          <w:rFonts w:ascii="Century Gothic" w:hAnsi="Century Gothic"/>
          <w:sz w:val="20"/>
          <w:szCs w:val="20"/>
        </w:rPr>
        <w:footnoteReference w:id="2"/>
      </w:r>
      <w:r w:rsidRPr="00AA0A75">
        <w:rPr>
          <w:rFonts w:ascii="Century Gothic" w:hAnsi="Century Gothic"/>
          <w:sz w:val="20"/>
          <w:szCs w:val="20"/>
        </w:rPr>
        <w:t>.</w:t>
      </w:r>
    </w:p>
    <w:p w14:paraId="46F54BDD" w14:textId="77777777" w:rsidR="00212C8C" w:rsidRPr="00AA0A75" w:rsidRDefault="00212C8C" w:rsidP="00AA0A75">
      <w:pPr>
        <w:spacing w:line="240" w:lineRule="auto"/>
        <w:jc w:val="both"/>
        <w:rPr>
          <w:rFonts w:ascii="Century Gothic" w:hAnsi="Century Gothic"/>
          <w:sz w:val="20"/>
        </w:rPr>
      </w:pPr>
    </w:p>
    <w:p w14:paraId="4B6C38FF" w14:textId="77777777" w:rsidR="00212C8C" w:rsidRPr="00AA0A75" w:rsidRDefault="00212C8C" w:rsidP="00AA0A75">
      <w:pPr>
        <w:spacing w:line="240" w:lineRule="auto"/>
        <w:jc w:val="both"/>
        <w:rPr>
          <w:rFonts w:ascii="Century Gothic" w:hAnsi="Century Gothic"/>
          <w:sz w:val="20"/>
        </w:rPr>
      </w:pPr>
      <w:r w:rsidRPr="00AA0A75">
        <w:rPr>
          <w:rFonts w:ascii="Century Gothic" w:hAnsi="Century Gothic"/>
          <w:sz w:val="20"/>
        </w:rPr>
        <w:t>The specific tasks to be undertaken are:</w:t>
      </w:r>
    </w:p>
    <w:p w14:paraId="11D37511" w14:textId="77777777" w:rsidR="00212C8C" w:rsidRPr="00AA0A75" w:rsidRDefault="00212C8C" w:rsidP="00AA0A75">
      <w:pPr>
        <w:spacing w:line="240" w:lineRule="auto"/>
        <w:jc w:val="both"/>
        <w:rPr>
          <w:rFonts w:ascii="Century Gothic" w:hAnsi="Century Gothic"/>
          <w:sz w:val="20"/>
        </w:rPr>
      </w:pPr>
    </w:p>
    <w:p w14:paraId="783ECC43" w14:textId="77777777" w:rsidR="00212C8C" w:rsidRPr="00AA0A75" w:rsidRDefault="00212C8C" w:rsidP="00AA0A75">
      <w:pPr>
        <w:pStyle w:val="ListParagraph"/>
        <w:widowControl w:val="0"/>
        <w:numPr>
          <w:ilvl w:val="1"/>
          <w:numId w:val="2"/>
        </w:numPr>
        <w:spacing w:after="0" w:line="240" w:lineRule="auto"/>
        <w:ind w:hanging="720"/>
        <w:jc w:val="both"/>
        <w:rPr>
          <w:rFonts w:ascii="Century Gothic" w:hAnsi="Century Gothic"/>
          <w:sz w:val="20"/>
          <w:szCs w:val="20"/>
        </w:rPr>
      </w:pPr>
      <w:r w:rsidRPr="00AA0A75">
        <w:rPr>
          <w:rFonts w:ascii="Century Gothic" w:hAnsi="Century Gothic"/>
          <w:b/>
          <w:sz w:val="20"/>
          <w:szCs w:val="20"/>
        </w:rPr>
        <w:t>Leveraging Kenya’s first National Remittances Household Survey to inform the understanding of the SACCO remittance ecosystem:</w:t>
      </w:r>
    </w:p>
    <w:p w14:paraId="1C2F244C" w14:textId="77777777" w:rsidR="00212C8C" w:rsidRPr="00AA0A75" w:rsidRDefault="00212C8C" w:rsidP="00AA0A75">
      <w:pPr>
        <w:pStyle w:val="ListParagraph"/>
        <w:spacing w:after="0" w:line="240" w:lineRule="auto"/>
        <w:jc w:val="both"/>
        <w:rPr>
          <w:rFonts w:ascii="Century Gothic" w:hAnsi="Century Gothic"/>
          <w:sz w:val="20"/>
          <w:szCs w:val="20"/>
        </w:rPr>
      </w:pPr>
      <w:r w:rsidRPr="00AA0A75">
        <w:rPr>
          <w:rFonts w:ascii="Century Gothic" w:hAnsi="Century Gothic"/>
          <w:sz w:val="20"/>
          <w:szCs w:val="20"/>
        </w:rPr>
        <w:t xml:space="preserve">CBK, KNBS, SASRA and FSD Kenya are undertaking the first national remittances household survey. The research specialist is expected to work closely with the SASRA and FSD Kenya to ensure that indicators/questions relevant for this remittance assignment are incorporated with insights leveraged to inform this assignment. A draft survey questionnaire has already been designed but further work has been put on hold until further notice. </w:t>
      </w:r>
    </w:p>
    <w:p w14:paraId="5790381F" w14:textId="77777777" w:rsidR="00212C8C" w:rsidRPr="00AA0A75" w:rsidRDefault="00212C8C" w:rsidP="00AA0A75">
      <w:pPr>
        <w:pStyle w:val="ListParagraph"/>
        <w:spacing w:after="0" w:line="240" w:lineRule="auto"/>
        <w:jc w:val="both"/>
        <w:rPr>
          <w:rFonts w:ascii="Century Gothic" w:hAnsi="Century Gothic"/>
          <w:sz w:val="20"/>
          <w:szCs w:val="20"/>
        </w:rPr>
      </w:pPr>
    </w:p>
    <w:p w14:paraId="52C5E629" w14:textId="77777777" w:rsidR="00212C8C" w:rsidRPr="00AA0A75" w:rsidRDefault="00212C8C" w:rsidP="00AA0A75">
      <w:pPr>
        <w:pStyle w:val="ListParagraph"/>
        <w:widowControl w:val="0"/>
        <w:numPr>
          <w:ilvl w:val="1"/>
          <w:numId w:val="2"/>
        </w:numPr>
        <w:spacing w:after="0" w:line="240" w:lineRule="auto"/>
        <w:ind w:hanging="720"/>
        <w:jc w:val="both"/>
        <w:rPr>
          <w:rFonts w:ascii="Century Gothic" w:hAnsi="Century Gothic"/>
          <w:bCs/>
          <w:sz w:val="20"/>
          <w:szCs w:val="20"/>
        </w:rPr>
      </w:pPr>
      <w:r w:rsidRPr="00AA0A75">
        <w:rPr>
          <w:rFonts w:ascii="Century Gothic" w:hAnsi="Century Gothic"/>
          <w:b/>
          <w:sz w:val="20"/>
          <w:szCs w:val="20"/>
        </w:rPr>
        <w:t xml:space="preserve">Undertake interviews of both Kenyan remittances’ senders and recipients: </w:t>
      </w:r>
      <w:r w:rsidRPr="00AA0A75">
        <w:rPr>
          <w:rFonts w:ascii="Century Gothic" w:hAnsi="Century Gothic"/>
          <w:bCs/>
          <w:sz w:val="20"/>
          <w:szCs w:val="20"/>
        </w:rPr>
        <w:t>Working closely with the project team from SASRA and FSD Kenya, undertake interviews with various groups of SACCOs which will include:</w:t>
      </w:r>
    </w:p>
    <w:p w14:paraId="1C4A4BB1" w14:textId="77777777" w:rsidR="003F6165" w:rsidRPr="00AA0A75" w:rsidRDefault="003F6165" w:rsidP="00AA0A75">
      <w:pPr>
        <w:pStyle w:val="ListParagraph"/>
        <w:widowControl w:val="0"/>
        <w:spacing w:after="0" w:line="240" w:lineRule="auto"/>
        <w:jc w:val="both"/>
        <w:rPr>
          <w:rFonts w:ascii="Century Gothic" w:hAnsi="Century Gothic"/>
          <w:bCs/>
          <w:sz w:val="20"/>
          <w:szCs w:val="20"/>
        </w:rPr>
      </w:pPr>
    </w:p>
    <w:p w14:paraId="0D1B9820" w14:textId="77777777" w:rsidR="00212C8C" w:rsidRPr="00AA0A75" w:rsidRDefault="00212C8C" w:rsidP="00AA0A75">
      <w:pPr>
        <w:pStyle w:val="ListParagraph"/>
        <w:widowControl w:val="0"/>
        <w:numPr>
          <w:ilvl w:val="0"/>
          <w:numId w:val="7"/>
        </w:numPr>
        <w:overflowPunct w:val="0"/>
        <w:autoSpaceDE w:val="0"/>
        <w:autoSpaceDN w:val="0"/>
        <w:adjustRightInd w:val="0"/>
        <w:spacing w:after="0" w:line="240" w:lineRule="auto"/>
        <w:jc w:val="both"/>
        <w:rPr>
          <w:rFonts w:ascii="Century Gothic" w:hAnsi="Century Gothic"/>
          <w:bCs/>
          <w:sz w:val="20"/>
          <w:szCs w:val="20"/>
        </w:rPr>
      </w:pPr>
      <w:r w:rsidRPr="00AA0A75">
        <w:rPr>
          <w:rFonts w:ascii="Century Gothic" w:hAnsi="Century Gothic"/>
          <w:bCs/>
          <w:sz w:val="20"/>
          <w:szCs w:val="20"/>
        </w:rPr>
        <w:t>SACCO members who currently receive remittances through SACCOs</w:t>
      </w:r>
    </w:p>
    <w:p w14:paraId="76A7C64F" w14:textId="77777777" w:rsidR="00212C8C" w:rsidRPr="00AA0A75" w:rsidRDefault="00212C8C" w:rsidP="00AA0A75">
      <w:pPr>
        <w:pStyle w:val="ListParagraph"/>
        <w:widowControl w:val="0"/>
        <w:numPr>
          <w:ilvl w:val="0"/>
          <w:numId w:val="7"/>
        </w:numPr>
        <w:overflowPunct w:val="0"/>
        <w:autoSpaceDE w:val="0"/>
        <w:autoSpaceDN w:val="0"/>
        <w:adjustRightInd w:val="0"/>
        <w:spacing w:after="0" w:line="240" w:lineRule="auto"/>
        <w:jc w:val="both"/>
        <w:rPr>
          <w:rFonts w:ascii="Century Gothic" w:hAnsi="Century Gothic"/>
          <w:bCs/>
          <w:sz w:val="20"/>
          <w:szCs w:val="20"/>
        </w:rPr>
      </w:pPr>
      <w:r w:rsidRPr="00AA0A75">
        <w:rPr>
          <w:rFonts w:ascii="Century Gothic" w:hAnsi="Century Gothic"/>
          <w:bCs/>
          <w:sz w:val="20"/>
          <w:szCs w:val="20"/>
        </w:rPr>
        <w:t>SACCO members who use other operators to receive remittances.</w:t>
      </w:r>
    </w:p>
    <w:p w14:paraId="1D6FB7DE" w14:textId="77777777" w:rsidR="00212C8C" w:rsidRPr="00AA0A75" w:rsidRDefault="00212C8C" w:rsidP="00AA0A75">
      <w:pPr>
        <w:pStyle w:val="ListParagraph"/>
        <w:widowControl w:val="0"/>
        <w:numPr>
          <w:ilvl w:val="0"/>
          <w:numId w:val="7"/>
        </w:numPr>
        <w:overflowPunct w:val="0"/>
        <w:autoSpaceDE w:val="0"/>
        <w:autoSpaceDN w:val="0"/>
        <w:adjustRightInd w:val="0"/>
        <w:spacing w:after="0" w:line="240" w:lineRule="auto"/>
        <w:jc w:val="both"/>
        <w:rPr>
          <w:rFonts w:ascii="Century Gothic" w:hAnsi="Century Gothic"/>
          <w:bCs/>
          <w:sz w:val="20"/>
          <w:szCs w:val="20"/>
        </w:rPr>
      </w:pPr>
      <w:r w:rsidRPr="00AA0A75">
        <w:rPr>
          <w:rFonts w:ascii="Century Gothic" w:hAnsi="Century Gothic"/>
          <w:bCs/>
          <w:sz w:val="20"/>
          <w:szCs w:val="20"/>
        </w:rPr>
        <w:t>Rural remittance recipients and senders who are not SACCO members.</w:t>
      </w:r>
    </w:p>
    <w:p w14:paraId="61ED7A2A" w14:textId="77777777" w:rsidR="00212C8C" w:rsidRPr="00AA0A75" w:rsidRDefault="00212C8C" w:rsidP="00AA0A75">
      <w:pPr>
        <w:pStyle w:val="ListParagraph"/>
        <w:widowControl w:val="0"/>
        <w:numPr>
          <w:ilvl w:val="0"/>
          <w:numId w:val="7"/>
        </w:numPr>
        <w:overflowPunct w:val="0"/>
        <w:autoSpaceDE w:val="0"/>
        <w:autoSpaceDN w:val="0"/>
        <w:adjustRightInd w:val="0"/>
        <w:spacing w:after="0" w:line="240" w:lineRule="auto"/>
        <w:jc w:val="both"/>
        <w:rPr>
          <w:rFonts w:ascii="Century Gothic" w:hAnsi="Century Gothic"/>
          <w:bCs/>
          <w:sz w:val="20"/>
          <w:szCs w:val="20"/>
        </w:rPr>
      </w:pPr>
      <w:r w:rsidRPr="00AA0A75">
        <w:rPr>
          <w:rFonts w:ascii="Century Gothic" w:hAnsi="Century Gothic"/>
          <w:bCs/>
          <w:sz w:val="20"/>
          <w:szCs w:val="20"/>
        </w:rPr>
        <w:t>Kenyan migrants abroad (living in the most relevant diaspora destination, USA, UK, Germany, Uganda, etc.) sending cross-border remittances directly into SACCO accounts.</w:t>
      </w:r>
    </w:p>
    <w:p w14:paraId="6E749823" w14:textId="77777777" w:rsidR="00212C8C" w:rsidRPr="00AA0A75" w:rsidRDefault="00212C8C" w:rsidP="00AA0A75">
      <w:pPr>
        <w:pStyle w:val="ListParagraph"/>
        <w:spacing w:after="0" w:line="240" w:lineRule="auto"/>
        <w:ind w:left="2160"/>
        <w:jc w:val="both"/>
        <w:rPr>
          <w:rFonts w:ascii="Century Gothic" w:hAnsi="Century Gothic"/>
          <w:bCs/>
          <w:sz w:val="20"/>
          <w:szCs w:val="20"/>
        </w:rPr>
      </w:pPr>
    </w:p>
    <w:p w14:paraId="09FD72BA" w14:textId="77777777" w:rsidR="00212C8C" w:rsidRPr="00AA0A75" w:rsidRDefault="00212C8C" w:rsidP="00AA0A75">
      <w:pPr>
        <w:spacing w:line="240" w:lineRule="auto"/>
        <w:ind w:left="720"/>
        <w:jc w:val="both"/>
        <w:rPr>
          <w:rFonts w:ascii="Century Gothic" w:hAnsi="Century Gothic"/>
          <w:bCs/>
          <w:sz w:val="20"/>
        </w:rPr>
      </w:pPr>
      <w:r w:rsidRPr="00AA0A75">
        <w:rPr>
          <w:rFonts w:ascii="Century Gothic" w:hAnsi="Century Gothic"/>
          <w:bCs/>
          <w:sz w:val="20"/>
        </w:rPr>
        <w:t xml:space="preserve">Respondents will be identified through support from SASRA and FSD Kenya leveraging the household survey database, and diaspora associations such as the Kenyan Diaspora Alliance (KDA). The consultant will advise on the best methodology to adopt - individual interviews and/or FGDs – and will focus on the reasons for using, not </w:t>
      </w:r>
      <w:proofErr w:type="gramStart"/>
      <w:r w:rsidRPr="00AA0A75">
        <w:rPr>
          <w:rFonts w:ascii="Century Gothic" w:hAnsi="Century Gothic"/>
          <w:bCs/>
          <w:sz w:val="20"/>
        </w:rPr>
        <w:t>using</w:t>
      </w:r>
      <w:proofErr w:type="gramEnd"/>
      <w:r w:rsidRPr="00AA0A75">
        <w:rPr>
          <w:rFonts w:ascii="Century Gothic" w:hAnsi="Century Gothic"/>
          <w:bCs/>
          <w:sz w:val="20"/>
        </w:rPr>
        <w:t xml:space="preserve"> or being interested to use SACCOs to send/receive remittances and, for the current SACCO users, their pattern to send/receive remittances and how they combine SACCOs’ financial services with remittances. The results will be disaggregated by gender (ensuring women are fairly represented in the sample), location (with a clear focus on rural areas), and the sending countries (including PRIME Africa corridors, namely Germany, South </w:t>
      </w:r>
      <w:proofErr w:type="gramStart"/>
      <w:r w:rsidRPr="00AA0A75">
        <w:rPr>
          <w:rFonts w:ascii="Century Gothic" w:hAnsi="Century Gothic"/>
          <w:bCs/>
          <w:sz w:val="20"/>
        </w:rPr>
        <w:t>Africa</w:t>
      </w:r>
      <w:proofErr w:type="gramEnd"/>
      <w:r w:rsidRPr="00AA0A75">
        <w:rPr>
          <w:rFonts w:ascii="Century Gothic" w:hAnsi="Century Gothic"/>
          <w:bCs/>
          <w:sz w:val="20"/>
        </w:rPr>
        <w:t xml:space="preserve"> and Uganda).</w:t>
      </w:r>
    </w:p>
    <w:p w14:paraId="5B26EE5C" w14:textId="77777777" w:rsidR="00212C8C" w:rsidRPr="00AA0A75" w:rsidRDefault="00212C8C" w:rsidP="00AA0A75">
      <w:pPr>
        <w:spacing w:line="240" w:lineRule="auto"/>
        <w:ind w:left="360"/>
        <w:jc w:val="both"/>
        <w:rPr>
          <w:rFonts w:ascii="Century Gothic" w:hAnsi="Century Gothic"/>
          <w:bCs/>
          <w:sz w:val="20"/>
        </w:rPr>
      </w:pPr>
    </w:p>
    <w:p w14:paraId="7F932060" w14:textId="77777777" w:rsidR="00212C8C" w:rsidRPr="00AA0A75" w:rsidRDefault="00212C8C" w:rsidP="00AA0A75">
      <w:pPr>
        <w:pStyle w:val="ListParagraph"/>
        <w:widowControl w:val="0"/>
        <w:numPr>
          <w:ilvl w:val="1"/>
          <w:numId w:val="2"/>
        </w:numPr>
        <w:spacing w:after="0" w:line="240" w:lineRule="auto"/>
        <w:ind w:hanging="720"/>
        <w:jc w:val="both"/>
        <w:rPr>
          <w:rFonts w:ascii="Century Gothic" w:hAnsi="Century Gothic"/>
          <w:bCs/>
          <w:sz w:val="20"/>
          <w:szCs w:val="20"/>
        </w:rPr>
      </w:pPr>
      <w:r w:rsidRPr="00AA0A75">
        <w:rPr>
          <w:rFonts w:ascii="Century Gothic" w:hAnsi="Century Gothic"/>
          <w:b/>
          <w:sz w:val="20"/>
          <w:szCs w:val="20"/>
        </w:rPr>
        <w:t xml:space="preserve">Mapping active SACCO remittance models: </w:t>
      </w:r>
      <w:r w:rsidRPr="00AA0A75">
        <w:rPr>
          <w:rFonts w:ascii="Century Gothic" w:hAnsi="Century Gothic"/>
          <w:sz w:val="20"/>
          <w:szCs w:val="20"/>
        </w:rPr>
        <w:t>As of today, there is no publicly consolidated available information on the number and the location of SACCOs in Kenya that provide remittance services to their members. To respond to this market need, the consultant is expected to undertake the following activities:</w:t>
      </w:r>
    </w:p>
    <w:p w14:paraId="4A4E04BA" w14:textId="77777777" w:rsidR="00212C8C" w:rsidRPr="00AA0A75" w:rsidRDefault="00212C8C" w:rsidP="00AA0A75">
      <w:pPr>
        <w:spacing w:line="240" w:lineRule="auto"/>
        <w:jc w:val="both"/>
        <w:rPr>
          <w:rFonts w:ascii="Century Gothic" w:hAnsi="Century Gothic"/>
          <w:bCs/>
          <w:sz w:val="20"/>
        </w:rPr>
      </w:pPr>
    </w:p>
    <w:p w14:paraId="2E18252B" w14:textId="77777777" w:rsidR="00212C8C" w:rsidRPr="00AA0A75" w:rsidRDefault="00212C8C" w:rsidP="00AA0A75">
      <w:pPr>
        <w:pStyle w:val="ListParagraph"/>
        <w:widowControl w:val="0"/>
        <w:numPr>
          <w:ilvl w:val="0"/>
          <w:numId w:val="8"/>
        </w:numPr>
        <w:overflowPunct w:val="0"/>
        <w:autoSpaceDE w:val="0"/>
        <w:autoSpaceDN w:val="0"/>
        <w:adjustRightInd w:val="0"/>
        <w:spacing w:after="0" w:line="240" w:lineRule="auto"/>
        <w:jc w:val="both"/>
        <w:rPr>
          <w:rFonts w:ascii="Century Gothic" w:hAnsi="Century Gothic"/>
          <w:bCs/>
          <w:sz w:val="20"/>
          <w:szCs w:val="20"/>
        </w:rPr>
      </w:pPr>
      <w:r w:rsidRPr="00AA0A75">
        <w:rPr>
          <w:rFonts w:ascii="Century Gothic" w:hAnsi="Century Gothic"/>
          <w:bCs/>
          <w:sz w:val="20"/>
          <w:szCs w:val="20"/>
        </w:rPr>
        <w:t xml:space="preserve">Map the (DT and non-DT) SACCOs that have active remittance operations through agency/sub-agency agreements or other types of arrangements that allow members to send/receive money to/from a SACCO account.  This will require working with SASRA to explore its database to determine which SACCOS engage in remittances. </w:t>
      </w:r>
    </w:p>
    <w:p w14:paraId="6F56B50A" w14:textId="77777777" w:rsidR="00212C8C" w:rsidRPr="00AA0A75" w:rsidRDefault="00212C8C" w:rsidP="00AA0A75">
      <w:pPr>
        <w:pStyle w:val="ListParagraph"/>
        <w:spacing w:after="0" w:line="240" w:lineRule="auto"/>
        <w:ind w:left="1080"/>
        <w:jc w:val="both"/>
        <w:rPr>
          <w:rFonts w:ascii="Century Gothic" w:hAnsi="Century Gothic"/>
          <w:bCs/>
          <w:sz w:val="20"/>
          <w:szCs w:val="20"/>
        </w:rPr>
      </w:pPr>
      <w:r w:rsidRPr="00AA0A75">
        <w:rPr>
          <w:rFonts w:ascii="Century Gothic" w:hAnsi="Century Gothic"/>
          <w:bCs/>
          <w:sz w:val="20"/>
          <w:szCs w:val="20"/>
        </w:rPr>
        <w:t xml:space="preserve"> </w:t>
      </w:r>
    </w:p>
    <w:p w14:paraId="6C6C3957" w14:textId="77777777" w:rsidR="00212C8C" w:rsidRPr="00AA0A75" w:rsidRDefault="00212C8C" w:rsidP="00AA0A75">
      <w:pPr>
        <w:pStyle w:val="ListParagraph"/>
        <w:widowControl w:val="0"/>
        <w:numPr>
          <w:ilvl w:val="0"/>
          <w:numId w:val="8"/>
        </w:numPr>
        <w:overflowPunct w:val="0"/>
        <w:autoSpaceDE w:val="0"/>
        <w:autoSpaceDN w:val="0"/>
        <w:adjustRightInd w:val="0"/>
        <w:spacing w:after="0" w:line="240" w:lineRule="auto"/>
        <w:jc w:val="both"/>
        <w:rPr>
          <w:rFonts w:ascii="Century Gothic" w:hAnsi="Century Gothic"/>
          <w:bCs/>
          <w:sz w:val="20"/>
          <w:szCs w:val="20"/>
        </w:rPr>
      </w:pPr>
      <w:r w:rsidRPr="00AA0A75">
        <w:rPr>
          <w:rFonts w:ascii="Century Gothic" w:hAnsi="Century Gothic"/>
          <w:bCs/>
          <w:sz w:val="20"/>
          <w:szCs w:val="20"/>
        </w:rPr>
        <w:t xml:space="preserve">Conduct in-depth interviews with a minimum of 10 identified SACCOs to gather additional details on the partnership models used, with a focus on gathering information on their benefits and challenges. </w:t>
      </w:r>
    </w:p>
    <w:p w14:paraId="0EE0B06D" w14:textId="77777777" w:rsidR="00212C8C" w:rsidRPr="00AA0A75" w:rsidRDefault="00212C8C" w:rsidP="00AA0A75">
      <w:pPr>
        <w:pStyle w:val="ListParagraph"/>
        <w:spacing w:after="0" w:line="240" w:lineRule="auto"/>
        <w:jc w:val="both"/>
        <w:rPr>
          <w:rFonts w:ascii="Century Gothic" w:hAnsi="Century Gothic"/>
          <w:bCs/>
          <w:sz w:val="20"/>
          <w:szCs w:val="20"/>
        </w:rPr>
      </w:pPr>
    </w:p>
    <w:p w14:paraId="5CDCF5C6" w14:textId="77777777" w:rsidR="00212C8C" w:rsidRPr="00AA0A75" w:rsidRDefault="00212C8C" w:rsidP="00AA0A75">
      <w:pPr>
        <w:pStyle w:val="ListParagraph"/>
        <w:widowControl w:val="0"/>
        <w:numPr>
          <w:ilvl w:val="1"/>
          <w:numId w:val="2"/>
        </w:numPr>
        <w:overflowPunct w:val="0"/>
        <w:autoSpaceDE w:val="0"/>
        <w:autoSpaceDN w:val="0"/>
        <w:adjustRightInd w:val="0"/>
        <w:spacing w:after="0" w:line="240" w:lineRule="auto"/>
        <w:ind w:left="1080" w:hanging="720"/>
        <w:jc w:val="both"/>
        <w:rPr>
          <w:rFonts w:ascii="Century Gothic" w:hAnsi="Century Gothic"/>
          <w:b/>
          <w:sz w:val="20"/>
          <w:szCs w:val="20"/>
        </w:rPr>
      </w:pPr>
      <w:r w:rsidRPr="00AA0A75">
        <w:rPr>
          <w:rFonts w:ascii="Century Gothic" w:hAnsi="Century Gothic"/>
          <w:b/>
          <w:sz w:val="20"/>
          <w:szCs w:val="20"/>
        </w:rPr>
        <w:t xml:space="preserve">Identifying alternative SACCO partners in the remittances value chain to understand: </w:t>
      </w:r>
    </w:p>
    <w:p w14:paraId="23CDA544" w14:textId="77777777" w:rsidR="00212C8C" w:rsidRPr="00AA0A75" w:rsidRDefault="00212C8C" w:rsidP="00AA0A75">
      <w:pPr>
        <w:spacing w:line="240" w:lineRule="auto"/>
        <w:jc w:val="both"/>
        <w:rPr>
          <w:rFonts w:ascii="Century Gothic" w:hAnsi="Century Gothic"/>
          <w:b/>
          <w:sz w:val="20"/>
        </w:rPr>
      </w:pPr>
      <w:r w:rsidRPr="00AA0A75">
        <w:rPr>
          <w:rFonts w:ascii="Century Gothic" w:hAnsi="Century Gothic"/>
          <w:b/>
          <w:sz w:val="20"/>
        </w:rPr>
        <w:t xml:space="preserve"> </w:t>
      </w:r>
      <w:r w:rsidRPr="00AA0A75">
        <w:rPr>
          <w:rFonts w:ascii="Century Gothic" w:hAnsi="Century Gothic"/>
          <w:b/>
          <w:sz w:val="20"/>
        </w:rPr>
        <w:tab/>
      </w:r>
    </w:p>
    <w:p w14:paraId="2349F09B" w14:textId="77777777" w:rsidR="00212C8C" w:rsidRPr="00AA0A75" w:rsidRDefault="00212C8C" w:rsidP="00AA0A75">
      <w:pPr>
        <w:pStyle w:val="ListParagraph"/>
        <w:widowControl w:val="0"/>
        <w:numPr>
          <w:ilvl w:val="0"/>
          <w:numId w:val="9"/>
        </w:numPr>
        <w:overflowPunct w:val="0"/>
        <w:autoSpaceDE w:val="0"/>
        <w:autoSpaceDN w:val="0"/>
        <w:adjustRightInd w:val="0"/>
        <w:spacing w:after="0" w:line="240" w:lineRule="auto"/>
        <w:jc w:val="both"/>
        <w:rPr>
          <w:rFonts w:ascii="Century Gothic" w:hAnsi="Century Gothic"/>
          <w:sz w:val="20"/>
          <w:szCs w:val="20"/>
        </w:rPr>
      </w:pPr>
      <w:r w:rsidRPr="00AA0A75">
        <w:rPr>
          <w:rFonts w:ascii="Century Gothic" w:hAnsi="Century Gothic"/>
          <w:sz w:val="20"/>
          <w:szCs w:val="20"/>
        </w:rPr>
        <w:lastRenderedPageBreak/>
        <w:t xml:space="preserve">through which partnership arrangements SACCOs could deliver remittance services at the last mile, especially in rural </w:t>
      </w:r>
      <w:proofErr w:type="gramStart"/>
      <w:r w:rsidRPr="00AA0A75">
        <w:rPr>
          <w:rFonts w:ascii="Century Gothic" w:hAnsi="Century Gothic"/>
          <w:sz w:val="20"/>
          <w:szCs w:val="20"/>
        </w:rPr>
        <w:t>areas;</w:t>
      </w:r>
      <w:proofErr w:type="gramEnd"/>
      <w:r w:rsidRPr="00AA0A75">
        <w:rPr>
          <w:rFonts w:ascii="Century Gothic" w:hAnsi="Century Gothic"/>
          <w:sz w:val="20"/>
          <w:szCs w:val="20"/>
        </w:rPr>
        <w:t xml:space="preserve"> </w:t>
      </w:r>
    </w:p>
    <w:p w14:paraId="66A0280C" w14:textId="77777777" w:rsidR="00212C8C" w:rsidRPr="00AA0A75" w:rsidRDefault="00212C8C" w:rsidP="00AA0A75">
      <w:pPr>
        <w:pStyle w:val="ListParagraph"/>
        <w:spacing w:after="0" w:line="240" w:lineRule="auto"/>
        <w:ind w:left="1080"/>
        <w:jc w:val="both"/>
        <w:rPr>
          <w:rFonts w:ascii="Century Gothic" w:hAnsi="Century Gothic"/>
          <w:sz w:val="20"/>
          <w:szCs w:val="20"/>
        </w:rPr>
      </w:pPr>
    </w:p>
    <w:p w14:paraId="292D47FA" w14:textId="77777777" w:rsidR="00212C8C" w:rsidRPr="00AA0A75" w:rsidRDefault="00212C8C" w:rsidP="00AA0A75">
      <w:pPr>
        <w:pStyle w:val="ListParagraph"/>
        <w:widowControl w:val="0"/>
        <w:numPr>
          <w:ilvl w:val="0"/>
          <w:numId w:val="9"/>
        </w:numPr>
        <w:overflowPunct w:val="0"/>
        <w:autoSpaceDE w:val="0"/>
        <w:autoSpaceDN w:val="0"/>
        <w:adjustRightInd w:val="0"/>
        <w:spacing w:after="0" w:line="240" w:lineRule="auto"/>
        <w:jc w:val="both"/>
        <w:rPr>
          <w:rFonts w:ascii="Century Gothic" w:hAnsi="Century Gothic"/>
          <w:sz w:val="20"/>
          <w:szCs w:val="20"/>
        </w:rPr>
      </w:pPr>
      <w:r w:rsidRPr="00AA0A75">
        <w:rPr>
          <w:rFonts w:ascii="Century Gothic" w:hAnsi="Century Gothic"/>
          <w:sz w:val="20"/>
          <w:szCs w:val="20"/>
        </w:rPr>
        <w:t xml:space="preserve">which minimum criteria would be needed at SACCO level to run remittance-related operations proficiently; and </w:t>
      </w:r>
    </w:p>
    <w:p w14:paraId="492EFFB6" w14:textId="77777777" w:rsidR="00212C8C" w:rsidRPr="00AA0A75" w:rsidRDefault="00212C8C" w:rsidP="00AA0A75">
      <w:pPr>
        <w:pStyle w:val="ListParagraph"/>
        <w:spacing w:after="0" w:line="240" w:lineRule="auto"/>
        <w:jc w:val="both"/>
        <w:rPr>
          <w:rFonts w:ascii="Century Gothic" w:hAnsi="Century Gothic"/>
          <w:sz w:val="20"/>
          <w:szCs w:val="20"/>
        </w:rPr>
      </w:pPr>
    </w:p>
    <w:p w14:paraId="2B14C44E" w14:textId="77777777" w:rsidR="00212C8C" w:rsidRPr="00AA0A75" w:rsidRDefault="00212C8C" w:rsidP="00AA0A75">
      <w:pPr>
        <w:pStyle w:val="ListParagraph"/>
        <w:widowControl w:val="0"/>
        <w:numPr>
          <w:ilvl w:val="0"/>
          <w:numId w:val="9"/>
        </w:numPr>
        <w:overflowPunct w:val="0"/>
        <w:autoSpaceDE w:val="0"/>
        <w:autoSpaceDN w:val="0"/>
        <w:adjustRightInd w:val="0"/>
        <w:spacing w:after="0" w:line="240" w:lineRule="auto"/>
        <w:jc w:val="both"/>
        <w:rPr>
          <w:rFonts w:ascii="Century Gothic" w:hAnsi="Century Gothic"/>
          <w:sz w:val="20"/>
          <w:szCs w:val="20"/>
        </w:rPr>
      </w:pPr>
      <w:r w:rsidRPr="00AA0A75">
        <w:rPr>
          <w:rFonts w:ascii="Century Gothic" w:hAnsi="Century Gothic"/>
          <w:sz w:val="20"/>
          <w:szCs w:val="20"/>
        </w:rPr>
        <w:t>what are the regulatory breaches that should be clarified or regulatory challenges to be anticipated.</w:t>
      </w:r>
    </w:p>
    <w:p w14:paraId="56BBC059" w14:textId="77777777" w:rsidR="00212C8C" w:rsidRPr="00AA0A75" w:rsidRDefault="00212C8C" w:rsidP="00AA0A75">
      <w:pPr>
        <w:pStyle w:val="ListParagraph"/>
        <w:spacing w:after="0" w:line="240" w:lineRule="auto"/>
        <w:ind w:left="1800"/>
        <w:jc w:val="both"/>
        <w:rPr>
          <w:rFonts w:ascii="Century Gothic" w:hAnsi="Century Gothic"/>
          <w:sz w:val="20"/>
          <w:szCs w:val="20"/>
        </w:rPr>
      </w:pPr>
    </w:p>
    <w:p w14:paraId="7BCEF244" w14:textId="34252292" w:rsidR="00212C8C" w:rsidRPr="00AA0A75" w:rsidRDefault="00212C8C" w:rsidP="00AA0A75">
      <w:pPr>
        <w:spacing w:line="240" w:lineRule="auto"/>
        <w:ind w:left="1080"/>
        <w:jc w:val="both"/>
        <w:rPr>
          <w:rFonts w:ascii="Century Gothic" w:hAnsi="Century Gothic"/>
          <w:sz w:val="20"/>
        </w:rPr>
      </w:pPr>
      <w:r w:rsidRPr="00AA0A75">
        <w:rPr>
          <w:rFonts w:ascii="Century Gothic" w:hAnsi="Century Gothic"/>
          <w:sz w:val="20"/>
        </w:rPr>
        <w:t xml:space="preserve">To gather this, the consultant is expected to identify new partners among stakeholders of the remittance value chain and </w:t>
      </w:r>
      <w:r w:rsidR="008269B7" w:rsidRPr="00AA0A75">
        <w:rPr>
          <w:rFonts w:ascii="Century Gothic" w:hAnsi="Century Gothic"/>
          <w:sz w:val="20"/>
        </w:rPr>
        <w:t>other players</w:t>
      </w:r>
      <w:r w:rsidRPr="00AA0A75">
        <w:rPr>
          <w:rFonts w:ascii="Century Gothic" w:hAnsi="Century Gothic"/>
          <w:sz w:val="20"/>
        </w:rPr>
        <w:t xml:space="preserve"> partnering with SACCOs in the field of payment services, IT support, cloud-based banking services, and relevant stakeholders willing to extend or develop their collaboration to the field of remittances. Those potential new partners, including banks, </w:t>
      </w:r>
      <w:proofErr w:type="spellStart"/>
      <w:r w:rsidRPr="00AA0A75">
        <w:rPr>
          <w:rFonts w:ascii="Century Gothic" w:hAnsi="Century Gothic"/>
          <w:sz w:val="20"/>
        </w:rPr>
        <w:t>fintechs</w:t>
      </w:r>
      <w:proofErr w:type="spellEnd"/>
      <w:r w:rsidRPr="00AA0A75">
        <w:rPr>
          <w:rFonts w:ascii="Century Gothic" w:hAnsi="Century Gothic"/>
          <w:sz w:val="20"/>
        </w:rPr>
        <w:t>, IMTOs, MMOs, etc., can be identified through discussions with key informants involved in the remittance value chain or engaged with SACCOs in the provision of payment and IT services. A minimum of 15 of these relevant stakeholders will be interviewed. This includes current and potential SACCOs’ operating partners (</w:t>
      </w:r>
      <w:proofErr w:type="gramStart"/>
      <w:r w:rsidRPr="00AA0A75">
        <w:rPr>
          <w:rFonts w:ascii="Century Gothic" w:hAnsi="Century Gothic"/>
          <w:sz w:val="20"/>
        </w:rPr>
        <w:t>e.g.</w:t>
      </w:r>
      <w:proofErr w:type="gramEnd"/>
      <w:r w:rsidRPr="00AA0A75">
        <w:rPr>
          <w:rFonts w:ascii="Century Gothic" w:hAnsi="Century Gothic"/>
          <w:sz w:val="20"/>
        </w:rPr>
        <w:t xml:space="preserve"> Credit Bank, Family Bank, Cooperative Bank, Co-op Consultancy and Bancassurance Intermediary, Eclectics, Interswitch, KWARA, </w:t>
      </w:r>
      <w:proofErr w:type="spellStart"/>
      <w:r w:rsidRPr="00AA0A75">
        <w:rPr>
          <w:rFonts w:ascii="Century Gothic" w:hAnsi="Century Gothic"/>
          <w:sz w:val="20"/>
        </w:rPr>
        <w:t>Coretec</w:t>
      </w:r>
      <w:proofErr w:type="spellEnd"/>
      <w:r w:rsidRPr="00AA0A75">
        <w:rPr>
          <w:rFonts w:ascii="Century Gothic" w:hAnsi="Century Gothic"/>
          <w:sz w:val="20"/>
        </w:rPr>
        <w:t xml:space="preserve">, Fibo360, Craft Silicon Amtech, </w:t>
      </w:r>
      <w:proofErr w:type="spellStart"/>
      <w:r w:rsidRPr="00AA0A75">
        <w:rPr>
          <w:rFonts w:ascii="Century Gothic" w:hAnsi="Century Gothic"/>
          <w:sz w:val="20"/>
        </w:rPr>
        <w:t>Wakandi</w:t>
      </w:r>
      <w:proofErr w:type="spellEnd"/>
      <w:r w:rsidRPr="00AA0A75">
        <w:rPr>
          <w:rFonts w:ascii="Century Gothic" w:hAnsi="Century Gothic"/>
          <w:sz w:val="20"/>
        </w:rPr>
        <w:t xml:space="preserve">, Interswitch, Kenyan Fintech Association, Kenya Forex and Remittance Association, Diaspora SACCOs, Tap </w:t>
      </w:r>
      <w:proofErr w:type="spellStart"/>
      <w:r w:rsidRPr="00AA0A75">
        <w:rPr>
          <w:rFonts w:ascii="Century Gothic" w:hAnsi="Century Gothic"/>
          <w:sz w:val="20"/>
        </w:rPr>
        <w:t>Tap</w:t>
      </w:r>
      <w:proofErr w:type="spellEnd"/>
      <w:r w:rsidRPr="00AA0A75">
        <w:rPr>
          <w:rFonts w:ascii="Century Gothic" w:hAnsi="Century Gothic"/>
          <w:sz w:val="20"/>
        </w:rPr>
        <w:t xml:space="preserve"> Send, Send Wave, </w:t>
      </w:r>
      <w:proofErr w:type="spellStart"/>
      <w:r w:rsidRPr="00AA0A75">
        <w:rPr>
          <w:rFonts w:ascii="Century Gothic" w:hAnsi="Century Gothic"/>
          <w:sz w:val="20"/>
        </w:rPr>
        <w:t>WorldRemit</w:t>
      </w:r>
      <w:proofErr w:type="spellEnd"/>
      <w:r w:rsidRPr="00AA0A75">
        <w:rPr>
          <w:rFonts w:ascii="Century Gothic" w:hAnsi="Century Gothic"/>
          <w:sz w:val="20"/>
        </w:rPr>
        <w:t>)</w:t>
      </w:r>
    </w:p>
    <w:p w14:paraId="4D311609" w14:textId="77777777" w:rsidR="00212C8C" w:rsidRPr="00AA0A75" w:rsidRDefault="00212C8C" w:rsidP="00AA0A75">
      <w:pPr>
        <w:pStyle w:val="ListParagraph"/>
        <w:spacing w:after="0" w:line="240" w:lineRule="auto"/>
        <w:ind w:left="1080"/>
        <w:jc w:val="both"/>
        <w:rPr>
          <w:rFonts w:ascii="Century Gothic" w:hAnsi="Century Gothic"/>
          <w:sz w:val="20"/>
          <w:szCs w:val="20"/>
        </w:rPr>
      </w:pPr>
    </w:p>
    <w:p w14:paraId="6F273082" w14:textId="77777777" w:rsidR="00212C8C" w:rsidRPr="00AA0A75" w:rsidRDefault="00212C8C" w:rsidP="00AA0A75">
      <w:pPr>
        <w:spacing w:line="240" w:lineRule="auto"/>
        <w:ind w:left="1080"/>
        <w:jc w:val="both"/>
        <w:rPr>
          <w:rFonts w:ascii="Century Gothic" w:hAnsi="Century Gothic"/>
          <w:sz w:val="20"/>
        </w:rPr>
      </w:pPr>
      <w:r w:rsidRPr="00AA0A75">
        <w:rPr>
          <w:rFonts w:ascii="Century Gothic" w:hAnsi="Century Gothic"/>
          <w:sz w:val="20"/>
        </w:rPr>
        <w:t>The consultant is expected to develop an inventory of the FinTechs with the capacity to support SACCOs in managing cross-border transfers and of digitizing their core banking services, the main different partnerships they would develop and the potential regulatory challenges they would face.</w:t>
      </w:r>
    </w:p>
    <w:p w14:paraId="4D7CD1E1" w14:textId="77777777" w:rsidR="00212C8C" w:rsidRPr="00AA0A75" w:rsidRDefault="00212C8C" w:rsidP="00AA0A75">
      <w:pPr>
        <w:spacing w:line="240" w:lineRule="auto"/>
        <w:ind w:left="1080"/>
        <w:jc w:val="both"/>
        <w:rPr>
          <w:rFonts w:ascii="Century Gothic" w:hAnsi="Century Gothic"/>
          <w:sz w:val="20"/>
        </w:rPr>
      </w:pPr>
    </w:p>
    <w:p w14:paraId="488C78E2" w14:textId="77777777" w:rsidR="00212C8C" w:rsidRPr="00AA0A75" w:rsidRDefault="00212C8C" w:rsidP="00AA0A75">
      <w:pPr>
        <w:pStyle w:val="ListParagraph"/>
        <w:widowControl w:val="0"/>
        <w:numPr>
          <w:ilvl w:val="1"/>
          <w:numId w:val="2"/>
        </w:numPr>
        <w:spacing w:after="0" w:line="240" w:lineRule="auto"/>
        <w:ind w:hanging="720"/>
        <w:jc w:val="both"/>
        <w:rPr>
          <w:rFonts w:ascii="Century Gothic" w:hAnsi="Century Gothic"/>
          <w:bCs/>
          <w:sz w:val="20"/>
          <w:szCs w:val="20"/>
        </w:rPr>
      </w:pPr>
      <w:r w:rsidRPr="00AA0A75">
        <w:rPr>
          <w:rFonts w:ascii="Century Gothic" w:hAnsi="Century Gothic"/>
          <w:b/>
          <w:sz w:val="20"/>
          <w:szCs w:val="20"/>
        </w:rPr>
        <w:t xml:space="preserve">Scoping opportunities on the new “Central Liquidity Facility and Shared Services Platform for SACCOs: </w:t>
      </w:r>
      <w:r w:rsidRPr="00AA0A75">
        <w:rPr>
          <w:rFonts w:ascii="Century Gothic" w:hAnsi="Century Gothic"/>
          <w:sz w:val="20"/>
          <w:szCs w:val="20"/>
        </w:rPr>
        <w:t>Building on the above research, the consultant will be expected to work closely with the FSD identified strategist for this workstream to identify opportunities that will inform the roll out of the SACCO central. This may entail:</w:t>
      </w:r>
    </w:p>
    <w:p w14:paraId="50064F44" w14:textId="77777777" w:rsidR="00212C8C" w:rsidRPr="00AA0A75" w:rsidRDefault="00212C8C" w:rsidP="00AA0A75">
      <w:pPr>
        <w:spacing w:line="240" w:lineRule="auto"/>
        <w:jc w:val="both"/>
        <w:rPr>
          <w:rFonts w:ascii="Century Gothic" w:hAnsi="Century Gothic"/>
          <w:bCs/>
          <w:sz w:val="20"/>
        </w:rPr>
      </w:pPr>
    </w:p>
    <w:p w14:paraId="1D1BC364" w14:textId="77777777" w:rsidR="00212C8C" w:rsidRPr="00AA0A75" w:rsidRDefault="00212C8C" w:rsidP="00AA0A75">
      <w:pPr>
        <w:pStyle w:val="ListParagraph"/>
        <w:widowControl w:val="0"/>
        <w:numPr>
          <w:ilvl w:val="0"/>
          <w:numId w:val="10"/>
        </w:numPr>
        <w:overflowPunct w:val="0"/>
        <w:autoSpaceDE w:val="0"/>
        <w:autoSpaceDN w:val="0"/>
        <w:adjustRightInd w:val="0"/>
        <w:spacing w:after="0" w:line="240" w:lineRule="auto"/>
        <w:jc w:val="both"/>
        <w:rPr>
          <w:rFonts w:ascii="Century Gothic" w:hAnsi="Century Gothic"/>
          <w:sz w:val="20"/>
          <w:szCs w:val="20"/>
        </w:rPr>
      </w:pPr>
      <w:r w:rsidRPr="00AA0A75">
        <w:rPr>
          <w:rFonts w:ascii="Century Gothic" w:hAnsi="Century Gothic"/>
          <w:sz w:val="20"/>
          <w:szCs w:val="20"/>
        </w:rPr>
        <w:t>Hold interviews with SASRA (and its partners) to understand how the new Shared SACCO Platform could potentially help in the termination of remittances through SACCOs.</w:t>
      </w:r>
    </w:p>
    <w:p w14:paraId="4D238514" w14:textId="77777777" w:rsidR="00212C8C" w:rsidRPr="00AA0A75" w:rsidRDefault="00212C8C" w:rsidP="00AA0A75">
      <w:pPr>
        <w:pStyle w:val="ListParagraph"/>
        <w:spacing w:after="0" w:line="240" w:lineRule="auto"/>
        <w:ind w:left="1080"/>
        <w:jc w:val="both"/>
        <w:rPr>
          <w:rFonts w:ascii="Century Gothic" w:hAnsi="Century Gothic"/>
          <w:sz w:val="20"/>
          <w:szCs w:val="20"/>
        </w:rPr>
      </w:pPr>
    </w:p>
    <w:p w14:paraId="66B5417B" w14:textId="77777777" w:rsidR="00212C8C" w:rsidRPr="00AA0A75" w:rsidRDefault="00212C8C" w:rsidP="00AA0A75">
      <w:pPr>
        <w:pStyle w:val="ListParagraph"/>
        <w:widowControl w:val="0"/>
        <w:numPr>
          <w:ilvl w:val="0"/>
          <w:numId w:val="10"/>
        </w:numPr>
        <w:overflowPunct w:val="0"/>
        <w:autoSpaceDE w:val="0"/>
        <w:autoSpaceDN w:val="0"/>
        <w:adjustRightInd w:val="0"/>
        <w:spacing w:after="0" w:line="240" w:lineRule="auto"/>
        <w:jc w:val="both"/>
        <w:rPr>
          <w:rFonts w:ascii="Century Gothic" w:hAnsi="Century Gothic"/>
          <w:sz w:val="20"/>
          <w:szCs w:val="20"/>
        </w:rPr>
      </w:pPr>
      <w:r w:rsidRPr="00AA0A75">
        <w:rPr>
          <w:rFonts w:ascii="Century Gothic" w:hAnsi="Century Gothic"/>
          <w:sz w:val="20"/>
          <w:szCs w:val="20"/>
        </w:rPr>
        <w:t>Set criteria for SACCOs to become members of the shared payment platform.</w:t>
      </w:r>
    </w:p>
    <w:p w14:paraId="529DF721" w14:textId="77777777" w:rsidR="00212C8C" w:rsidRPr="00AA0A75" w:rsidRDefault="00212C8C" w:rsidP="00AA0A75">
      <w:pPr>
        <w:pStyle w:val="ListParagraph"/>
        <w:spacing w:after="0" w:line="240" w:lineRule="auto"/>
        <w:jc w:val="both"/>
        <w:rPr>
          <w:rFonts w:ascii="Century Gothic" w:hAnsi="Century Gothic"/>
          <w:sz w:val="20"/>
          <w:szCs w:val="20"/>
        </w:rPr>
      </w:pPr>
    </w:p>
    <w:p w14:paraId="111E98F7" w14:textId="77777777" w:rsidR="00212C8C" w:rsidRPr="00AA0A75" w:rsidRDefault="00212C8C" w:rsidP="00AA0A75">
      <w:pPr>
        <w:pStyle w:val="ListParagraph"/>
        <w:widowControl w:val="0"/>
        <w:numPr>
          <w:ilvl w:val="0"/>
          <w:numId w:val="10"/>
        </w:numPr>
        <w:overflowPunct w:val="0"/>
        <w:autoSpaceDE w:val="0"/>
        <w:autoSpaceDN w:val="0"/>
        <w:adjustRightInd w:val="0"/>
        <w:spacing w:after="0" w:line="240" w:lineRule="auto"/>
        <w:jc w:val="both"/>
        <w:rPr>
          <w:rFonts w:ascii="Century Gothic" w:hAnsi="Century Gothic"/>
          <w:sz w:val="20"/>
          <w:szCs w:val="20"/>
        </w:rPr>
      </w:pPr>
      <w:r w:rsidRPr="00AA0A75">
        <w:rPr>
          <w:rFonts w:ascii="Century Gothic" w:hAnsi="Century Gothic"/>
          <w:sz w:val="20"/>
          <w:szCs w:val="20"/>
        </w:rPr>
        <w:t>Estimate the number of SACCOs that could potentially offer remittances through the platform.</w:t>
      </w:r>
    </w:p>
    <w:p w14:paraId="5DDEE564" w14:textId="77777777" w:rsidR="00212C8C" w:rsidRPr="00AA0A75" w:rsidRDefault="00212C8C" w:rsidP="00AA0A75">
      <w:pPr>
        <w:spacing w:line="240" w:lineRule="auto"/>
        <w:jc w:val="both"/>
        <w:rPr>
          <w:rFonts w:ascii="Century Gothic" w:hAnsi="Century Gothic"/>
          <w:bCs/>
          <w:sz w:val="20"/>
        </w:rPr>
      </w:pPr>
    </w:p>
    <w:p w14:paraId="4B1306DE" w14:textId="77777777" w:rsidR="00212C8C" w:rsidRPr="00AA0A75" w:rsidRDefault="00212C8C" w:rsidP="00AA0A75">
      <w:pPr>
        <w:pStyle w:val="ListParagraph"/>
        <w:widowControl w:val="0"/>
        <w:numPr>
          <w:ilvl w:val="1"/>
          <w:numId w:val="2"/>
        </w:numPr>
        <w:spacing w:after="0" w:line="240" w:lineRule="auto"/>
        <w:ind w:hanging="720"/>
        <w:jc w:val="both"/>
        <w:rPr>
          <w:rFonts w:ascii="Century Gothic" w:hAnsi="Century Gothic"/>
          <w:bCs/>
          <w:sz w:val="20"/>
          <w:szCs w:val="20"/>
        </w:rPr>
      </w:pPr>
      <w:r w:rsidRPr="00AA0A75">
        <w:rPr>
          <w:rFonts w:ascii="Century Gothic" w:hAnsi="Century Gothic"/>
          <w:b/>
          <w:sz w:val="20"/>
          <w:szCs w:val="20"/>
        </w:rPr>
        <w:t xml:space="preserve">Consolidation of the findings: </w:t>
      </w:r>
      <w:r w:rsidRPr="00AA0A75">
        <w:rPr>
          <w:rFonts w:ascii="Century Gothic" w:hAnsi="Century Gothic"/>
          <w:sz w:val="20"/>
          <w:szCs w:val="20"/>
        </w:rPr>
        <w:t>The consultant will analyse and compile all the findings from all the research work for dissemination to various stakeholders including a participatory validation workshop detailed below.</w:t>
      </w:r>
    </w:p>
    <w:p w14:paraId="33FB4ED0" w14:textId="77777777" w:rsidR="00212C8C" w:rsidRPr="00AA0A75" w:rsidRDefault="00212C8C" w:rsidP="00AA0A75">
      <w:pPr>
        <w:pStyle w:val="ListParagraph"/>
        <w:spacing w:after="0" w:line="240" w:lineRule="auto"/>
        <w:jc w:val="both"/>
        <w:rPr>
          <w:rFonts w:ascii="Century Gothic" w:hAnsi="Century Gothic"/>
          <w:bCs/>
          <w:sz w:val="20"/>
          <w:szCs w:val="20"/>
        </w:rPr>
      </w:pPr>
    </w:p>
    <w:p w14:paraId="4B0B4513" w14:textId="77777777" w:rsidR="00212C8C" w:rsidRPr="00AA0A75" w:rsidRDefault="00212C8C" w:rsidP="00AA0A75">
      <w:pPr>
        <w:pStyle w:val="ListParagraph"/>
        <w:widowControl w:val="0"/>
        <w:numPr>
          <w:ilvl w:val="1"/>
          <w:numId w:val="2"/>
        </w:numPr>
        <w:spacing w:after="0" w:line="240" w:lineRule="auto"/>
        <w:ind w:hanging="720"/>
        <w:jc w:val="both"/>
        <w:rPr>
          <w:rFonts w:ascii="Century Gothic" w:hAnsi="Century Gothic"/>
          <w:bCs/>
          <w:sz w:val="20"/>
          <w:szCs w:val="20"/>
        </w:rPr>
      </w:pPr>
      <w:r w:rsidRPr="00AA0A75">
        <w:rPr>
          <w:rFonts w:ascii="Century Gothic" w:hAnsi="Century Gothic"/>
          <w:b/>
          <w:sz w:val="20"/>
          <w:szCs w:val="20"/>
        </w:rPr>
        <w:t xml:space="preserve">Validation and dissemination of research findings: </w:t>
      </w:r>
      <w:r w:rsidRPr="00AA0A75">
        <w:rPr>
          <w:rFonts w:ascii="Century Gothic" w:hAnsi="Century Gothic"/>
          <w:sz w:val="20"/>
          <w:szCs w:val="20"/>
        </w:rPr>
        <w:t>The consultant will participate in various stakeholder dissemination events. The aim of having these gatherings will be to validate the research findings along with the proposed recommendations, ensuring their alignment and coherence with existing inclusive finance strategies for policy, donors and private sector strategies or regulatory priorities, and will share and disseminate the knowledge generated to a broad group of stakeholders interested in the remittance market through SACCOs to take informed decisions. some of which include:</w:t>
      </w:r>
    </w:p>
    <w:p w14:paraId="0A65B6A2" w14:textId="77777777" w:rsidR="00212C8C" w:rsidRPr="00AA0A75" w:rsidRDefault="00212C8C" w:rsidP="00AA0A75">
      <w:pPr>
        <w:pStyle w:val="ListParagraph"/>
        <w:spacing w:after="0" w:line="240" w:lineRule="auto"/>
        <w:jc w:val="both"/>
        <w:rPr>
          <w:rFonts w:ascii="Century Gothic" w:hAnsi="Century Gothic"/>
          <w:bCs/>
          <w:sz w:val="20"/>
          <w:szCs w:val="20"/>
        </w:rPr>
      </w:pPr>
    </w:p>
    <w:p w14:paraId="7B1C1853" w14:textId="77777777" w:rsidR="00212C8C" w:rsidRPr="00AA0A75" w:rsidRDefault="00212C8C" w:rsidP="00AA0A75">
      <w:pPr>
        <w:pStyle w:val="ListParagraph"/>
        <w:widowControl w:val="0"/>
        <w:numPr>
          <w:ilvl w:val="0"/>
          <w:numId w:val="11"/>
        </w:numPr>
        <w:overflowPunct w:val="0"/>
        <w:autoSpaceDE w:val="0"/>
        <w:autoSpaceDN w:val="0"/>
        <w:adjustRightInd w:val="0"/>
        <w:spacing w:after="0" w:line="240" w:lineRule="auto"/>
        <w:jc w:val="both"/>
        <w:rPr>
          <w:rFonts w:ascii="Century Gothic" w:hAnsi="Century Gothic"/>
          <w:bCs/>
          <w:sz w:val="20"/>
          <w:szCs w:val="20"/>
        </w:rPr>
      </w:pPr>
      <w:r w:rsidRPr="00AA0A75">
        <w:rPr>
          <w:rFonts w:ascii="Century Gothic" w:hAnsi="Century Gothic"/>
          <w:bCs/>
          <w:sz w:val="20"/>
          <w:szCs w:val="20"/>
        </w:rPr>
        <w:lastRenderedPageBreak/>
        <w:t>Three validation workshops with specified thematic groups</w:t>
      </w:r>
    </w:p>
    <w:p w14:paraId="7FDE202F" w14:textId="77777777" w:rsidR="00212C8C" w:rsidRPr="00AA0A75" w:rsidRDefault="00212C8C" w:rsidP="00AA0A75">
      <w:pPr>
        <w:pStyle w:val="ListParagraph"/>
        <w:widowControl w:val="0"/>
        <w:numPr>
          <w:ilvl w:val="0"/>
          <w:numId w:val="11"/>
        </w:numPr>
        <w:overflowPunct w:val="0"/>
        <w:autoSpaceDE w:val="0"/>
        <w:autoSpaceDN w:val="0"/>
        <w:adjustRightInd w:val="0"/>
        <w:spacing w:after="0" w:line="240" w:lineRule="auto"/>
        <w:jc w:val="both"/>
        <w:rPr>
          <w:rFonts w:ascii="Century Gothic" w:hAnsi="Century Gothic"/>
          <w:bCs/>
          <w:sz w:val="20"/>
          <w:szCs w:val="20"/>
        </w:rPr>
      </w:pPr>
      <w:r w:rsidRPr="00AA0A75">
        <w:rPr>
          <w:rFonts w:ascii="Century Gothic" w:hAnsi="Century Gothic"/>
          <w:bCs/>
          <w:sz w:val="20"/>
          <w:szCs w:val="20"/>
        </w:rPr>
        <w:t>Validated final report for publication and distribution.</w:t>
      </w:r>
    </w:p>
    <w:p w14:paraId="0785AAFB" w14:textId="77777777" w:rsidR="00212C8C" w:rsidRPr="00AA0A75" w:rsidRDefault="00212C8C" w:rsidP="00AA0A75">
      <w:pPr>
        <w:pStyle w:val="ListParagraph"/>
        <w:widowControl w:val="0"/>
        <w:numPr>
          <w:ilvl w:val="0"/>
          <w:numId w:val="11"/>
        </w:numPr>
        <w:overflowPunct w:val="0"/>
        <w:autoSpaceDE w:val="0"/>
        <w:autoSpaceDN w:val="0"/>
        <w:adjustRightInd w:val="0"/>
        <w:spacing w:after="0" w:line="240" w:lineRule="auto"/>
        <w:jc w:val="both"/>
        <w:rPr>
          <w:rFonts w:ascii="Century Gothic" w:hAnsi="Century Gothic"/>
          <w:bCs/>
          <w:sz w:val="20"/>
          <w:szCs w:val="20"/>
        </w:rPr>
      </w:pPr>
      <w:r w:rsidRPr="00AA0A75">
        <w:rPr>
          <w:rFonts w:ascii="Century Gothic" w:hAnsi="Century Gothic"/>
          <w:bCs/>
          <w:sz w:val="20"/>
          <w:szCs w:val="20"/>
        </w:rPr>
        <w:t>Industry-level in-person dissemination event as shall be discussed.</w:t>
      </w:r>
    </w:p>
    <w:p w14:paraId="2DFD150F" w14:textId="77777777" w:rsidR="00212C8C" w:rsidRPr="00AA0A75" w:rsidRDefault="00212C8C" w:rsidP="00AA0A75">
      <w:pPr>
        <w:pStyle w:val="ListParagraph"/>
        <w:widowControl w:val="0"/>
        <w:numPr>
          <w:ilvl w:val="0"/>
          <w:numId w:val="11"/>
        </w:numPr>
        <w:overflowPunct w:val="0"/>
        <w:autoSpaceDE w:val="0"/>
        <w:autoSpaceDN w:val="0"/>
        <w:adjustRightInd w:val="0"/>
        <w:spacing w:after="0" w:line="240" w:lineRule="auto"/>
        <w:jc w:val="both"/>
        <w:rPr>
          <w:rFonts w:ascii="Century Gothic" w:hAnsi="Century Gothic"/>
          <w:bCs/>
          <w:sz w:val="20"/>
          <w:szCs w:val="20"/>
        </w:rPr>
      </w:pPr>
      <w:r w:rsidRPr="00AA0A75">
        <w:rPr>
          <w:rFonts w:ascii="Century Gothic" w:hAnsi="Century Gothic"/>
          <w:bCs/>
          <w:sz w:val="20"/>
          <w:szCs w:val="20"/>
        </w:rPr>
        <w:t>Knowledge dissemination and linkage with the National Remittances Stakeholder’s Network’s (NRSN’s) community of practice (CoP)</w:t>
      </w:r>
    </w:p>
    <w:p w14:paraId="4A333511" w14:textId="77777777" w:rsidR="00212C8C" w:rsidRPr="00AA0A75" w:rsidRDefault="00212C8C" w:rsidP="00AA0A75">
      <w:pPr>
        <w:pStyle w:val="ListParagraph"/>
        <w:spacing w:after="0" w:line="240" w:lineRule="auto"/>
        <w:ind w:left="1080"/>
        <w:jc w:val="both"/>
        <w:rPr>
          <w:rFonts w:ascii="Century Gothic" w:hAnsi="Century Gothic"/>
          <w:sz w:val="20"/>
          <w:szCs w:val="20"/>
        </w:rPr>
      </w:pPr>
    </w:p>
    <w:p w14:paraId="2987A764" w14:textId="77777777" w:rsidR="00212C8C" w:rsidRPr="00AA0A75" w:rsidRDefault="00212C8C" w:rsidP="00AA0A75">
      <w:pPr>
        <w:keepNext/>
        <w:keepLines/>
        <w:widowControl w:val="0"/>
        <w:numPr>
          <w:ilvl w:val="0"/>
          <w:numId w:val="1"/>
        </w:numPr>
        <w:tabs>
          <w:tab w:val="num" w:pos="360"/>
        </w:tabs>
        <w:spacing w:line="240" w:lineRule="auto"/>
        <w:ind w:left="360"/>
        <w:jc w:val="both"/>
        <w:rPr>
          <w:rFonts w:ascii="Century Gothic" w:hAnsi="Century Gothic"/>
          <w:b/>
          <w:caps/>
          <w:sz w:val="20"/>
        </w:rPr>
      </w:pPr>
      <w:r w:rsidRPr="00AA0A75">
        <w:rPr>
          <w:rFonts w:ascii="Century Gothic" w:hAnsi="Century Gothic"/>
          <w:b/>
          <w:caps/>
          <w:sz w:val="20"/>
        </w:rPr>
        <w:t>CONDUCT OF THE WORK</w:t>
      </w:r>
    </w:p>
    <w:p w14:paraId="542D757A" w14:textId="77777777" w:rsidR="00212C8C" w:rsidRPr="00AA0A75" w:rsidRDefault="00212C8C" w:rsidP="00AA0A75">
      <w:pPr>
        <w:spacing w:line="240" w:lineRule="auto"/>
        <w:jc w:val="both"/>
        <w:rPr>
          <w:rFonts w:ascii="Century Gothic" w:hAnsi="Century Gothic"/>
          <w:sz w:val="20"/>
        </w:rPr>
      </w:pPr>
    </w:p>
    <w:p w14:paraId="6F00B477" w14:textId="77777777" w:rsidR="00212C8C" w:rsidRPr="00AA0A75" w:rsidRDefault="00212C8C" w:rsidP="00AA0A75">
      <w:pPr>
        <w:spacing w:line="240" w:lineRule="auto"/>
        <w:jc w:val="both"/>
        <w:rPr>
          <w:rFonts w:ascii="Century Gothic" w:hAnsi="Century Gothic"/>
          <w:sz w:val="20"/>
        </w:rPr>
      </w:pPr>
      <w:r w:rsidRPr="00AA0A75">
        <w:rPr>
          <w:rFonts w:ascii="Century Gothic" w:hAnsi="Century Gothic"/>
          <w:sz w:val="20"/>
        </w:rPr>
        <w:t xml:space="preserve">The consultant will report directly to the Project manager, working closely with the financial sector regulation specialist, SASRA, project team, FSD’s Senior Payments Specialist and FSD’s Research specialist. The role does not require physical presence in the FSD office, but from time to time, input from the consultant will be required in discussion forums where relevant analytical input is required. This could be done virtually or as appropriate. The consultant </w:t>
      </w:r>
      <w:r w:rsidRPr="00AA0A75">
        <w:rPr>
          <w:rFonts w:ascii="Century Gothic" w:hAnsi="Century Gothic"/>
          <w:b/>
          <w:bCs/>
          <w:sz w:val="20"/>
        </w:rPr>
        <w:t>should</w:t>
      </w:r>
      <w:r w:rsidRPr="00AA0A75">
        <w:rPr>
          <w:rFonts w:ascii="Century Gothic" w:hAnsi="Century Gothic"/>
          <w:sz w:val="20"/>
        </w:rPr>
        <w:t xml:space="preserve"> ideally be available to immediately respond to data requests.  </w:t>
      </w:r>
    </w:p>
    <w:p w14:paraId="7FEA79E1" w14:textId="77777777" w:rsidR="00212C8C" w:rsidRPr="00AA0A75" w:rsidRDefault="00212C8C" w:rsidP="00AA0A75">
      <w:pPr>
        <w:spacing w:line="240" w:lineRule="auto"/>
        <w:jc w:val="both"/>
        <w:rPr>
          <w:rFonts w:ascii="Century Gothic" w:hAnsi="Century Gothic"/>
          <w:sz w:val="20"/>
        </w:rPr>
      </w:pPr>
    </w:p>
    <w:p w14:paraId="6152B21C" w14:textId="77777777" w:rsidR="00212C8C" w:rsidRPr="00AA0A75" w:rsidRDefault="00212C8C" w:rsidP="00AA0A75">
      <w:pPr>
        <w:keepNext/>
        <w:keepLines/>
        <w:widowControl w:val="0"/>
        <w:numPr>
          <w:ilvl w:val="0"/>
          <w:numId w:val="1"/>
        </w:numPr>
        <w:tabs>
          <w:tab w:val="num" w:pos="360"/>
        </w:tabs>
        <w:spacing w:line="240" w:lineRule="auto"/>
        <w:ind w:left="360"/>
        <w:jc w:val="both"/>
        <w:rPr>
          <w:rFonts w:ascii="Century Gothic" w:hAnsi="Century Gothic"/>
          <w:b/>
          <w:caps/>
          <w:sz w:val="20"/>
        </w:rPr>
      </w:pPr>
      <w:r w:rsidRPr="00AA0A75">
        <w:rPr>
          <w:rFonts w:ascii="Century Gothic" w:hAnsi="Century Gothic"/>
          <w:b/>
          <w:caps/>
          <w:sz w:val="20"/>
        </w:rPr>
        <w:t>OUTCOMES AND DELIVERABLES</w:t>
      </w:r>
    </w:p>
    <w:p w14:paraId="3C87C24D" w14:textId="77777777" w:rsidR="00212C8C" w:rsidRPr="00AA0A75" w:rsidRDefault="00212C8C" w:rsidP="00AA0A75">
      <w:pPr>
        <w:spacing w:line="240" w:lineRule="auto"/>
        <w:jc w:val="both"/>
        <w:rPr>
          <w:rFonts w:ascii="Century Gothic" w:hAnsi="Century Gothic"/>
          <w:sz w:val="20"/>
        </w:rPr>
      </w:pPr>
    </w:p>
    <w:p w14:paraId="3F35CD8D" w14:textId="77777777" w:rsidR="00212C8C" w:rsidRPr="00AA0A75" w:rsidRDefault="00212C8C" w:rsidP="00AA0A75">
      <w:pPr>
        <w:keepNext/>
        <w:keepLines/>
        <w:spacing w:line="240" w:lineRule="auto"/>
        <w:jc w:val="both"/>
        <w:rPr>
          <w:rFonts w:ascii="Century Gothic" w:hAnsi="Century Gothic"/>
          <w:sz w:val="20"/>
        </w:rPr>
      </w:pPr>
      <w:r w:rsidRPr="00AA0A75">
        <w:rPr>
          <w:rFonts w:ascii="Century Gothic" w:hAnsi="Century Gothic"/>
          <w:sz w:val="20"/>
        </w:rPr>
        <w:t xml:space="preserve">The key outcome sought from this work is insightful and high quality and research outputs that will inform policy and industry to come up with inclusive remittances solutions. The table below specifies the expected deliverables. </w:t>
      </w:r>
    </w:p>
    <w:p w14:paraId="0E1B824D" w14:textId="77777777" w:rsidR="00212C8C" w:rsidRPr="00AA0A75" w:rsidRDefault="00212C8C" w:rsidP="00AA0A75">
      <w:pPr>
        <w:keepNext/>
        <w:keepLines/>
        <w:spacing w:line="240" w:lineRule="auto"/>
        <w:jc w:val="both"/>
        <w:rPr>
          <w:rFonts w:ascii="Century Gothic" w:hAnsi="Century Gothic"/>
          <w:sz w:val="20"/>
        </w:rPr>
      </w:pPr>
    </w:p>
    <w:tbl>
      <w:tblPr>
        <w:tblW w:w="9067" w:type="dxa"/>
        <w:tblBorders>
          <w:top w:val="single" w:sz="4" w:space="0" w:color="000080"/>
          <w:left w:val="single" w:sz="4" w:space="0" w:color="000080"/>
          <w:bottom w:val="single" w:sz="4" w:space="0" w:color="000080"/>
          <w:right w:val="single" w:sz="4" w:space="0" w:color="000080"/>
          <w:insideH w:val="single" w:sz="4" w:space="0" w:color="FFFFFF"/>
          <w:insideV w:val="single" w:sz="4" w:space="0" w:color="FFFFFF"/>
        </w:tblBorders>
        <w:tblLook w:val="0000" w:firstRow="0" w:lastRow="0" w:firstColumn="0" w:lastColumn="0" w:noHBand="0" w:noVBand="0"/>
      </w:tblPr>
      <w:tblGrid>
        <w:gridCol w:w="4248"/>
        <w:gridCol w:w="4819"/>
      </w:tblGrid>
      <w:tr w:rsidR="00212C8C" w:rsidRPr="00BC1607" w14:paraId="6B368670" w14:textId="77777777" w:rsidTr="00AA0A75">
        <w:trPr>
          <w:trHeight w:val="427"/>
          <w:tblHeader/>
        </w:trPr>
        <w:tc>
          <w:tcPr>
            <w:tcW w:w="4248" w:type="dxa"/>
            <w:tcBorders>
              <w:bottom w:val="single" w:sz="4" w:space="0" w:color="FFFFFF"/>
            </w:tcBorders>
            <w:shd w:val="clear" w:color="auto" w:fill="000080"/>
          </w:tcPr>
          <w:p w14:paraId="506282E9" w14:textId="77777777" w:rsidR="00212C8C" w:rsidRPr="00BC1607" w:rsidRDefault="00212C8C" w:rsidP="00AA0A75">
            <w:pPr>
              <w:spacing w:line="240" w:lineRule="auto"/>
              <w:rPr>
                <w:rFonts w:ascii="Century Gothic" w:hAnsi="Century Gothic" w:cs="Arial"/>
                <w:b/>
                <w:sz w:val="18"/>
                <w:szCs w:val="18"/>
              </w:rPr>
            </w:pPr>
            <w:r w:rsidRPr="00BC1607">
              <w:rPr>
                <w:rFonts w:ascii="Century Gothic" w:hAnsi="Century Gothic" w:cs="Arial"/>
                <w:b/>
                <w:sz w:val="18"/>
                <w:szCs w:val="18"/>
              </w:rPr>
              <w:t xml:space="preserve">Activity  </w:t>
            </w:r>
          </w:p>
        </w:tc>
        <w:tc>
          <w:tcPr>
            <w:tcW w:w="4819" w:type="dxa"/>
            <w:tcBorders>
              <w:bottom w:val="single" w:sz="4" w:space="0" w:color="FFFFFF"/>
            </w:tcBorders>
            <w:shd w:val="clear" w:color="auto" w:fill="000080"/>
          </w:tcPr>
          <w:p w14:paraId="6E4514A9" w14:textId="77777777" w:rsidR="00212C8C" w:rsidRPr="00BC1607" w:rsidRDefault="00212C8C" w:rsidP="00AA0A75">
            <w:pPr>
              <w:spacing w:line="240" w:lineRule="auto"/>
              <w:rPr>
                <w:rFonts w:ascii="Century Gothic" w:hAnsi="Century Gothic" w:cs="Arial"/>
                <w:b/>
                <w:sz w:val="18"/>
                <w:szCs w:val="18"/>
              </w:rPr>
            </w:pPr>
            <w:r w:rsidRPr="00BC1607">
              <w:rPr>
                <w:rFonts w:ascii="Century Gothic" w:hAnsi="Century Gothic" w:cs="Arial"/>
                <w:b/>
                <w:sz w:val="18"/>
                <w:szCs w:val="18"/>
              </w:rPr>
              <w:t>Deliverable</w:t>
            </w:r>
          </w:p>
        </w:tc>
      </w:tr>
      <w:tr w:rsidR="00212C8C" w:rsidRPr="00BC1607" w14:paraId="1D14AECF" w14:textId="77777777" w:rsidTr="00AA0A75">
        <w:trPr>
          <w:trHeight w:val="322"/>
        </w:trPr>
        <w:tc>
          <w:tcPr>
            <w:tcW w:w="4248" w:type="dxa"/>
            <w:tcBorders>
              <w:top w:val="single" w:sz="4" w:space="0" w:color="FFFFFF"/>
              <w:bottom w:val="single" w:sz="4" w:space="0" w:color="000080"/>
              <w:right w:val="single" w:sz="4" w:space="0" w:color="000080"/>
            </w:tcBorders>
          </w:tcPr>
          <w:p w14:paraId="25D05805" w14:textId="77777777" w:rsidR="00212C8C" w:rsidRPr="00BC1607" w:rsidRDefault="00212C8C" w:rsidP="00AA0A75">
            <w:pPr>
              <w:pStyle w:val="ListParagraph"/>
              <w:widowControl w:val="0"/>
              <w:numPr>
                <w:ilvl w:val="0"/>
                <w:numId w:val="12"/>
              </w:numPr>
              <w:overflowPunct w:val="0"/>
              <w:autoSpaceDE w:val="0"/>
              <w:autoSpaceDN w:val="0"/>
              <w:adjustRightInd w:val="0"/>
              <w:spacing w:after="0" w:line="240" w:lineRule="auto"/>
              <w:rPr>
                <w:rFonts w:ascii="Century Gothic" w:hAnsi="Century Gothic"/>
                <w:sz w:val="18"/>
                <w:szCs w:val="18"/>
              </w:rPr>
            </w:pPr>
            <w:r w:rsidRPr="00BC1607">
              <w:rPr>
                <w:rFonts w:ascii="Century Gothic" w:hAnsi="Century Gothic"/>
                <w:sz w:val="18"/>
                <w:szCs w:val="18"/>
              </w:rPr>
              <w:t>Inception meeting to clearly outline the expectations including defining the methodologies to be adopted, sample sizes and timelines</w:t>
            </w:r>
          </w:p>
        </w:tc>
        <w:tc>
          <w:tcPr>
            <w:tcW w:w="4819" w:type="dxa"/>
            <w:tcBorders>
              <w:top w:val="single" w:sz="4" w:space="0" w:color="FFFFFF"/>
              <w:left w:val="single" w:sz="4" w:space="0" w:color="000080"/>
              <w:bottom w:val="single" w:sz="4" w:space="0" w:color="000080"/>
            </w:tcBorders>
          </w:tcPr>
          <w:p w14:paraId="44CD8FDB" w14:textId="77777777" w:rsidR="00212C8C" w:rsidRPr="00BC1607" w:rsidRDefault="00212C8C" w:rsidP="00AA0A75">
            <w:pPr>
              <w:pStyle w:val="ListParagraph"/>
              <w:widowControl w:val="0"/>
              <w:numPr>
                <w:ilvl w:val="0"/>
                <w:numId w:val="13"/>
              </w:numPr>
              <w:tabs>
                <w:tab w:val="decimal" w:pos="601"/>
              </w:tabs>
              <w:overflowPunct w:val="0"/>
              <w:autoSpaceDE w:val="0"/>
              <w:autoSpaceDN w:val="0"/>
              <w:adjustRightInd w:val="0"/>
              <w:spacing w:after="0" w:line="240" w:lineRule="auto"/>
              <w:rPr>
                <w:rFonts w:ascii="Century Gothic" w:hAnsi="Century Gothic" w:cs="Arial"/>
                <w:sz w:val="18"/>
                <w:szCs w:val="18"/>
              </w:rPr>
            </w:pPr>
            <w:r w:rsidRPr="00BC1607">
              <w:rPr>
                <w:rFonts w:ascii="Century Gothic" w:hAnsi="Century Gothic" w:cs="Arial"/>
                <w:sz w:val="18"/>
                <w:szCs w:val="18"/>
              </w:rPr>
              <w:t>Detailed Implementation plan</w:t>
            </w:r>
          </w:p>
        </w:tc>
      </w:tr>
      <w:tr w:rsidR="00212C8C" w:rsidRPr="00BC1607" w14:paraId="2BAEA000" w14:textId="77777777" w:rsidTr="00AA0A75">
        <w:trPr>
          <w:trHeight w:val="322"/>
        </w:trPr>
        <w:tc>
          <w:tcPr>
            <w:tcW w:w="4248" w:type="dxa"/>
            <w:tcBorders>
              <w:top w:val="single" w:sz="4" w:space="0" w:color="000080"/>
              <w:bottom w:val="single" w:sz="4" w:space="0" w:color="000080"/>
              <w:right w:val="single" w:sz="4" w:space="0" w:color="000080"/>
            </w:tcBorders>
          </w:tcPr>
          <w:p w14:paraId="3D830468" w14:textId="77777777" w:rsidR="00212C8C" w:rsidRPr="00BC1607" w:rsidRDefault="00212C8C" w:rsidP="00AA0A75">
            <w:pPr>
              <w:pStyle w:val="ListParagraph"/>
              <w:widowControl w:val="0"/>
              <w:numPr>
                <w:ilvl w:val="0"/>
                <w:numId w:val="12"/>
              </w:numPr>
              <w:overflowPunct w:val="0"/>
              <w:autoSpaceDE w:val="0"/>
              <w:autoSpaceDN w:val="0"/>
              <w:adjustRightInd w:val="0"/>
              <w:spacing w:after="0" w:line="240" w:lineRule="auto"/>
              <w:rPr>
                <w:rFonts w:ascii="Century Gothic" w:hAnsi="Century Gothic"/>
                <w:sz w:val="18"/>
                <w:szCs w:val="18"/>
              </w:rPr>
            </w:pPr>
            <w:r w:rsidRPr="00BC1607">
              <w:rPr>
                <w:rFonts w:ascii="Century Gothic" w:hAnsi="Century Gothic"/>
                <w:sz w:val="18"/>
                <w:szCs w:val="18"/>
              </w:rPr>
              <w:t>Inform the design the KNBS/CBK/FSD Kenya national household survey</w:t>
            </w:r>
          </w:p>
        </w:tc>
        <w:tc>
          <w:tcPr>
            <w:tcW w:w="4819" w:type="dxa"/>
            <w:tcBorders>
              <w:top w:val="single" w:sz="4" w:space="0" w:color="000080"/>
              <w:left w:val="single" w:sz="4" w:space="0" w:color="000080"/>
              <w:bottom w:val="single" w:sz="4" w:space="0" w:color="000080"/>
            </w:tcBorders>
          </w:tcPr>
          <w:p w14:paraId="664CCF03" w14:textId="77777777" w:rsidR="00212C8C" w:rsidRPr="00BC1607" w:rsidRDefault="00212C8C" w:rsidP="00AA0A75">
            <w:pPr>
              <w:pStyle w:val="ListParagraph"/>
              <w:widowControl w:val="0"/>
              <w:numPr>
                <w:ilvl w:val="0"/>
                <w:numId w:val="13"/>
              </w:numPr>
              <w:tabs>
                <w:tab w:val="decimal" w:pos="601"/>
              </w:tabs>
              <w:overflowPunct w:val="0"/>
              <w:autoSpaceDE w:val="0"/>
              <w:autoSpaceDN w:val="0"/>
              <w:adjustRightInd w:val="0"/>
              <w:spacing w:after="0" w:line="240" w:lineRule="auto"/>
              <w:rPr>
                <w:rFonts w:ascii="Century Gothic" w:hAnsi="Century Gothic" w:cs="Arial"/>
                <w:sz w:val="18"/>
                <w:szCs w:val="18"/>
              </w:rPr>
            </w:pPr>
            <w:r w:rsidRPr="00BC1607">
              <w:rPr>
                <w:rFonts w:ascii="Century Gothic" w:hAnsi="Century Gothic" w:cs="Arial"/>
                <w:sz w:val="18"/>
                <w:szCs w:val="18"/>
              </w:rPr>
              <w:t>Indicators to support the development of the SACCO remittances ecosystem.</w:t>
            </w:r>
          </w:p>
        </w:tc>
      </w:tr>
      <w:tr w:rsidR="00212C8C" w:rsidRPr="00BC1607" w14:paraId="1D262899" w14:textId="77777777" w:rsidTr="00AA0A75">
        <w:trPr>
          <w:trHeight w:val="322"/>
        </w:trPr>
        <w:tc>
          <w:tcPr>
            <w:tcW w:w="4248" w:type="dxa"/>
            <w:tcBorders>
              <w:top w:val="single" w:sz="4" w:space="0" w:color="000080"/>
              <w:bottom w:val="single" w:sz="4" w:space="0" w:color="000080"/>
              <w:right w:val="single" w:sz="4" w:space="0" w:color="000080"/>
            </w:tcBorders>
          </w:tcPr>
          <w:p w14:paraId="653CE7C8" w14:textId="77777777" w:rsidR="00212C8C" w:rsidRPr="00BC1607" w:rsidRDefault="00212C8C" w:rsidP="00AA0A75">
            <w:pPr>
              <w:pStyle w:val="ListParagraph"/>
              <w:widowControl w:val="0"/>
              <w:numPr>
                <w:ilvl w:val="0"/>
                <w:numId w:val="12"/>
              </w:numPr>
              <w:overflowPunct w:val="0"/>
              <w:autoSpaceDE w:val="0"/>
              <w:autoSpaceDN w:val="0"/>
              <w:adjustRightInd w:val="0"/>
              <w:spacing w:after="0" w:line="240" w:lineRule="auto"/>
              <w:rPr>
                <w:rFonts w:ascii="Century Gothic" w:hAnsi="Century Gothic"/>
                <w:sz w:val="18"/>
                <w:szCs w:val="18"/>
              </w:rPr>
            </w:pPr>
            <w:r w:rsidRPr="00BC1607">
              <w:rPr>
                <w:rFonts w:ascii="Century Gothic" w:hAnsi="Century Gothic"/>
                <w:sz w:val="18"/>
                <w:szCs w:val="18"/>
              </w:rPr>
              <w:t>Interviews of both Kenyan remittances’ senders and recipients as described in task 3.2</w:t>
            </w:r>
          </w:p>
        </w:tc>
        <w:tc>
          <w:tcPr>
            <w:tcW w:w="4819" w:type="dxa"/>
            <w:tcBorders>
              <w:top w:val="single" w:sz="4" w:space="0" w:color="000080"/>
              <w:left w:val="single" w:sz="4" w:space="0" w:color="000080"/>
              <w:bottom w:val="single" w:sz="4" w:space="0" w:color="000080"/>
            </w:tcBorders>
          </w:tcPr>
          <w:p w14:paraId="6C94BDF1" w14:textId="77777777" w:rsidR="00212C8C" w:rsidRPr="00BC1607" w:rsidRDefault="00212C8C" w:rsidP="00AA0A75">
            <w:pPr>
              <w:pStyle w:val="ListParagraph"/>
              <w:widowControl w:val="0"/>
              <w:numPr>
                <w:ilvl w:val="0"/>
                <w:numId w:val="13"/>
              </w:numPr>
              <w:tabs>
                <w:tab w:val="decimal" w:pos="601"/>
              </w:tabs>
              <w:overflowPunct w:val="0"/>
              <w:autoSpaceDE w:val="0"/>
              <w:autoSpaceDN w:val="0"/>
              <w:adjustRightInd w:val="0"/>
              <w:spacing w:after="0" w:line="240" w:lineRule="auto"/>
              <w:rPr>
                <w:rFonts w:ascii="Century Gothic" w:hAnsi="Century Gothic" w:cs="Arial"/>
                <w:sz w:val="18"/>
                <w:szCs w:val="18"/>
              </w:rPr>
            </w:pPr>
            <w:r w:rsidRPr="00BC1607">
              <w:rPr>
                <w:rFonts w:ascii="Century Gothic" w:hAnsi="Century Gothic" w:cs="Arial"/>
                <w:sz w:val="18"/>
                <w:szCs w:val="18"/>
              </w:rPr>
              <w:t>Sample design</w:t>
            </w:r>
          </w:p>
          <w:p w14:paraId="2147C209" w14:textId="77777777" w:rsidR="00212C8C" w:rsidRPr="00BC1607" w:rsidRDefault="00212C8C" w:rsidP="00AA0A75">
            <w:pPr>
              <w:pStyle w:val="ListParagraph"/>
              <w:widowControl w:val="0"/>
              <w:numPr>
                <w:ilvl w:val="0"/>
                <w:numId w:val="13"/>
              </w:numPr>
              <w:tabs>
                <w:tab w:val="decimal" w:pos="601"/>
              </w:tabs>
              <w:overflowPunct w:val="0"/>
              <w:autoSpaceDE w:val="0"/>
              <w:autoSpaceDN w:val="0"/>
              <w:adjustRightInd w:val="0"/>
              <w:spacing w:after="0" w:line="240" w:lineRule="auto"/>
              <w:rPr>
                <w:rFonts w:ascii="Century Gothic" w:hAnsi="Century Gothic" w:cs="Arial"/>
                <w:sz w:val="18"/>
                <w:szCs w:val="18"/>
              </w:rPr>
            </w:pPr>
            <w:r w:rsidRPr="00BC1607">
              <w:rPr>
                <w:rFonts w:ascii="Century Gothic" w:hAnsi="Century Gothic" w:cs="Arial"/>
                <w:sz w:val="18"/>
                <w:szCs w:val="18"/>
              </w:rPr>
              <w:t>Questionnaires/discussion guides</w:t>
            </w:r>
          </w:p>
          <w:p w14:paraId="58EB93EE" w14:textId="77777777" w:rsidR="00212C8C" w:rsidRPr="00BC1607" w:rsidRDefault="00212C8C" w:rsidP="00AA0A75">
            <w:pPr>
              <w:pStyle w:val="ListParagraph"/>
              <w:widowControl w:val="0"/>
              <w:numPr>
                <w:ilvl w:val="0"/>
                <w:numId w:val="13"/>
              </w:numPr>
              <w:tabs>
                <w:tab w:val="decimal" w:pos="601"/>
              </w:tabs>
              <w:overflowPunct w:val="0"/>
              <w:autoSpaceDE w:val="0"/>
              <w:autoSpaceDN w:val="0"/>
              <w:adjustRightInd w:val="0"/>
              <w:spacing w:after="0" w:line="240" w:lineRule="auto"/>
              <w:rPr>
                <w:rFonts w:ascii="Century Gothic" w:hAnsi="Century Gothic" w:cs="Arial"/>
                <w:sz w:val="18"/>
                <w:szCs w:val="18"/>
              </w:rPr>
            </w:pPr>
            <w:r w:rsidRPr="00BC1607">
              <w:rPr>
                <w:rFonts w:ascii="Century Gothic" w:hAnsi="Century Gothic" w:cs="Arial"/>
                <w:sz w:val="18"/>
                <w:szCs w:val="18"/>
              </w:rPr>
              <w:t>Data from the interviews – raw data, transcripts, recordings from interviews</w:t>
            </w:r>
          </w:p>
          <w:p w14:paraId="6097084C" w14:textId="77777777" w:rsidR="00212C8C" w:rsidRPr="00BC1607" w:rsidRDefault="00212C8C" w:rsidP="00AA0A75">
            <w:pPr>
              <w:pStyle w:val="ListParagraph"/>
              <w:widowControl w:val="0"/>
              <w:numPr>
                <w:ilvl w:val="0"/>
                <w:numId w:val="13"/>
              </w:numPr>
              <w:tabs>
                <w:tab w:val="decimal" w:pos="601"/>
              </w:tabs>
              <w:overflowPunct w:val="0"/>
              <w:autoSpaceDE w:val="0"/>
              <w:autoSpaceDN w:val="0"/>
              <w:adjustRightInd w:val="0"/>
              <w:spacing w:after="0" w:line="240" w:lineRule="auto"/>
              <w:rPr>
                <w:rFonts w:ascii="Century Gothic" w:hAnsi="Century Gothic" w:cs="Arial"/>
                <w:sz w:val="18"/>
                <w:szCs w:val="18"/>
              </w:rPr>
            </w:pPr>
            <w:r w:rsidRPr="00BC1607">
              <w:rPr>
                <w:rFonts w:ascii="Century Gothic" w:hAnsi="Century Gothic" w:cs="Arial"/>
                <w:sz w:val="18"/>
                <w:szCs w:val="18"/>
              </w:rPr>
              <w:t xml:space="preserve">Reports summarising the findings, </w:t>
            </w:r>
            <w:proofErr w:type="gramStart"/>
            <w:r w:rsidRPr="00BC1607">
              <w:rPr>
                <w:rFonts w:ascii="Century Gothic" w:hAnsi="Century Gothic" w:cs="Arial"/>
                <w:sz w:val="18"/>
                <w:szCs w:val="18"/>
              </w:rPr>
              <w:t>insights</w:t>
            </w:r>
            <w:proofErr w:type="gramEnd"/>
            <w:r w:rsidRPr="00BC1607">
              <w:rPr>
                <w:rFonts w:ascii="Century Gothic" w:hAnsi="Century Gothic" w:cs="Arial"/>
                <w:sz w:val="18"/>
                <w:szCs w:val="18"/>
              </w:rPr>
              <w:t xml:space="preserve"> and recommendations from the interviews</w:t>
            </w:r>
          </w:p>
        </w:tc>
      </w:tr>
      <w:tr w:rsidR="00212C8C" w:rsidRPr="00BC1607" w14:paraId="651E0E8A" w14:textId="77777777" w:rsidTr="00AA0A75">
        <w:trPr>
          <w:trHeight w:val="322"/>
        </w:trPr>
        <w:tc>
          <w:tcPr>
            <w:tcW w:w="4248" w:type="dxa"/>
            <w:tcBorders>
              <w:top w:val="single" w:sz="4" w:space="0" w:color="000080"/>
              <w:bottom w:val="single" w:sz="4" w:space="0" w:color="000080"/>
              <w:right w:val="single" w:sz="4" w:space="0" w:color="000080"/>
            </w:tcBorders>
          </w:tcPr>
          <w:p w14:paraId="5BF03904" w14:textId="77777777" w:rsidR="00212C8C" w:rsidRPr="00BC1607" w:rsidRDefault="00212C8C" w:rsidP="00AA0A75">
            <w:pPr>
              <w:pStyle w:val="ListParagraph"/>
              <w:widowControl w:val="0"/>
              <w:numPr>
                <w:ilvl w:val="0"/>
                <w:numId w:val="12"/>
              </w:numPr>
              <w:overflowPunct w:val="0"/>
              <w:autoSpaceDE w:val="0"/>
              <w:autoSpaceDN w:val="0"/>
              <w:adjustRightInd w:val="0"/>
              <w:spacing w:after="0" w:line="240" w:lineRule="auto"/>
              <w:rPr>
                <w:rFonts w:ascii="Century Gothic" w:hAnsi="Century Gothic"/>
                <w:sz w:val="18"/>
                <w:szCs w:val="18"/>
              </w:rPr>
            </w:pPr>
            <w:r w:rsidRPr="00BC1607">
              <w:rPr>
                <w:rFonts w:ascii="Century Gothic" w:hAnsi="Century Gothic"/>
                <w:sz w:val="18"/>
                <w:szCs w:val="18"/>
              </w:rPr>
              <w:t>Mapping active SACCO remittance models (task 3.3)</w:t>
            </w:r>
          </w:p>
        </w:tc>
        <w:tc>
          <w:tcPr>
            <w:tcW w:w="4819" w:type="dxa"/>
            <w:tcBorders>
              <w:top w:val="single" w:sz="4" w:space="0" w:color="000080"/>
              <w:left w:val="single" w:sz="4" w:space="0" w:color="000080"/>
              <w:bottom w:val="single" w:sz="4" w:space="0" w:color="000080"/>
            </w:tcBorders>
          </w:tcPr>
          <w:p w14:paraId="29C83A94" w14:textId="77777777" w:rsidR="00212C8C" w:rsidRPr="00BC1607" w:rsidRDefault="00212C8C" w:rsidP="00AA0A75">
            <w:pPr>
              <w:pStyle w:val="ListParagraph"/>
              <w:widowControl w:val="0"/>
              <w:numPr>
                <w:ilvl w:val="0"/>
                <w:numId w:val="13"/>
              </w:numPr>
              <w:tabs>
                <w:tab w:val="decimal" w:pos="601"/>
              </w:tabs>
              <w:overflowPunct w:val="0"/>
              <w:autoSpaceDE w:val="0"/>
              <w:autoSpaceDN w:val="0"/>
              <w:adjustRightInd w:val="0"/>
              <w:spacing w:after="0" w:line="240" w:lineRule="auto"/>
              <w:rPr>
                <w:rFonts w:ascii="Century Gothic" w:hAnsi="Century Gothic" w:cs="Arial"/>
                <w:sz w:val="18"/>
                <w:szCs w:val="18"/>
              </w:rPr>
            </w:pPr>
            <w:r w:rsidRPr="00BC1607">
              <w:rPr>
                <w:rFonts w:ascii="Century Gothic" w:hAnsi="Century Gothic" w:cs="Arial"/>
                <w:sz w:val="18"/>
                <w:szCs w:val="18"/>
              </w:rPr>
              <w:t>Respondents and interview materials</w:t>
            </w:r>
          </w:p>
          <w:p w14:paraId="0BCD7C16" w14:textId="2E58B159" w:rsidR="00212C8C" w:rsidRPr="00BC1607" w:rsidRDefault="00212C8C" w:rsidP="00AA0A75">
            <w:pPr>
              <w:pStyle w:val="ListParagraph"/>
              <w:widowControl w:val="0"/>
              <w:numPr>
                <w:ilvl w:val="0"/>
                <w:numId w:val="13"/>
              </w:numPr>
              <w:tabs>
                <w:tab w:val="decimal" w:pos="601"/>
              </w:tabs>
              <w:overflowPunct w:val="0"/>
              <w:autoSpaceDE w:val="0"/>
              <w:autoSpaceDN w:val="0"/>
              <w:adjustRightInd w:val="0"/>
              <w:spacing w:after="0" w:line="240" w:lineRule="auto"/>
              <w:rPr>
                <w:rFonts w:ascii="Century Gothic" w:hAnsi="Century Gothic" w:cs="Arial"/>
                <w:sz w:val="18"/>
                <w:szCs w:val="18"/>
              </w:rPr>
            </w:pPr>
            <w:r w:rsidRPr="00BC1607">
              <w:rPr>
                <w:rFonts w:ascii="Century Gothic" w:hAnsi="Century Gothic" w:cs="Arial"/>
                <w:sz w:val="18"/>
                <w:szCs w:val="18"/>
              </w:rPr>
              <w:t>Mapping of SACCOs with existing remittances and models they are using.</w:t>
            </w:r>
          </w:p>
        </w:tc>
      </w:tr>
      <w:tr w:rsidR="00212C8C" w:rsidRPr="00BC1607" w14:paraId="0313FB6A" w14:textId="77777777" w:rsidTr="00AA0A75">
        <w:trPr>
          <w:trHeight w:val="322"/>
        </w:trPr>
        <w:tc>
          <w:tcPr>
            <w:tcW w:w="4248" w:type="dxa"/>
            <w:tcBorders>
              <w:top w:val="single" w:sz="4" w:space="0" w:color="000080"/>
              <w:bottom w:val="single" w:sz="4" w:space="0" w:color="000080"/>
              <w:right w:val="single" w:sz="4" w:space="0" w:color="000080"/>
            </w:tcBorders>
          </w:tcPr>
          <w:p w14:paraId="4D20B277" w14:textId="77777777" w:rsidR="00212C8C" w:rsidRPr="00BC1607" w:rsidRDefault="00212C8C" w:rsidP="00AA0A75">
            <w:pPr>
              <w:pStyle w:val="ListParagraph"/>
              <w:widowControl w:val="0"/>
              <w:numPr>
                <w:ilvl w:val="0"/>
                <w:numId w:val="12"/>
              </w:numPr>
              <w:overflowPunct w:val="0"/>
              <w:autoSpaceDE w:val="0"/>
              <w:autoSpaceDN w:val="0"/>
              <w:adjustRightInd w:val="0"/>
              <w:spacing w:after="0" w:line="240" w:lineRule="auto"/>
              <w:rPr>
                <w:rFonts w:ascii="Century Gothic" w:hAnsi="Century Gothic"/>
                <w:sz w:val="18"/>
                <w:szCs w:val="18"/>
              </w:rPr>
            </w:pPr>
            <w:r w:rsidRPr="00BC1607">
              <w:rPr>
                <w:rFonts w:ascii="Century Gothic" w:hAnsi="Century Gothic"/>
                <w:sz w:val="18"/>
                <w:szCs w:val="18"/>
              </w:rPr>
              <w:t>Identifying alternative SACCO partners in the remittances value chain (task 3.4)</w:t>
            </w:r>
          </w:p>
        </w:tc>
        <w:tc>
          <w:tcPr>
            <w:tcW w:w="4819" w:type="dxa"/>
            <w:tcBorders>
              <w:top w:val="single" w:sz="4" w:space="0" w:color="000080"/>
              <w:left w:val="single" w:sz="4" w:space="0" w:color="000080"/>
              <w:bottom w:val="single" w:sz="4" w:space="0" w:color="000080"/>
            </w:tcBorders>
          </w:tcPr>
          <w:p w14:paraId="7A6B57CB" w14:textId="77777777" w:rsidR="00212C8C" w:rsidRPr="00BC1607" w:rsidRDefault="00212C8C" w:rsidP="00AA0A75">
            <w:pPr>
              <w:pStyle w:val="ListParagraph"/>
              <w:widowControl w:val="0"/>
              <w:numPr>
                <w:ilvl w:val="0"/>
                <w:numId w:val="13"/>
              </w:numPr>
              <w:tabs>
                <w:tab w:val="decimal" w:pos="601"/>
              </w:tabs>
              <w:overflowPunct w:val="0"/>
              <w:autoSpaceDE w:val="0"/>
              <w:autoSpaceDN w:val="0"/>
              <w:adjustRightInd w:val="0"/>
              <w:spacing w:after="0" w:line="240" w:lineRule="auto"/>
              <w:rPr>
                <w:rFonts w:ascii="Century Gothic" w:hAnsi="Century Gothic" w:cs="Arial"/>
                <w:sz w:val="18"/>
                <w:szCs w:val="18"/>
              </w:rPr>
            </w:pPr>
            <w:r w:rsidRPr="00BC1607">
              <w:rPr>
                <w:rFonts w:ascii="Century Gothic" w:hAnsi="Century Gothic" w:cs="Arial"/>
                <w:sz w:val="18"/>
                <w:szCs w:val="18"/>
              </w:rPr>
              <w:t>Inventory of potential partners (</w:t>
            </w:r>
            <w:proofErr w:type="gramStart"/>
            <w:r w:rsidRPr="00BC1607">
              <w:rPr>
                <w:rFonts w:ascii="Century Gothic" w:hAnsi="Century Gothic" w:cs="Arial"/>
                <w:sz w:val="18"/>
                <w:szCs w:val="18"/>
              </w:rPr>
              <w:t>e.g.</w:t>
            </w:r>
            <w:proofErr w:type="gramEnd"/>
            <w:r w:rsidRPr="00BC1607">
              <w:rPr>
                <w:rFonts w:ascii="Century Gothic" w:hAnsi="Century Gothic" w:cs="Arial"/>
                <w:sz w:val="18"/>
                <w:szCs w:val="18"/>
              </w:rPr>
              <w:t xml:space="preserve"> FinTechs) for remittances solutions for SACCOs</w:t>
            </w:r>
          </w:p>
        </w:tc>
      </w:tr>
      <w:tr w:rsidR="00212C8C" w:rsidRPr="00BC1607" w14:paraId="5C56F9C2" w14:textId="77777777" w:rsidTr="00AA0A75">
        <w:trPr>
          <w:trHeight w:val="322"/>
        </w:trPr>
        <w:tc>
          <w:tcPr>
            <w:tcW w:w="4248" w:type="dxa"/>
            <w:tcBorders>
              <w:top w:val="single" w:sz="4" w:space="0" w:color="000080"/>
              <w:bottom w:val="single" w:sz="4" w:space="0" w:color="000080"/>
              <w:right w:val="single" w:sz="4" w:space="0" w:color="000080"/>
            </w:tcBorders>
          </w:tcPr>
          <w:p w14:paraId="21A39561" w14:textId="264D0E9D" w:rsidR="00212C8C" w:rsidRPr="00BC1607" w:rsidRDefault="00212C8C" w:rsidP="00AA0A75">
            <w:pPr>
              <w:pStyle w:val="ListParagraph"/>
              <w:widowControl w:val="0"/>
              <w:numPr>
                <w:ilvl w:val="0"/>
                <w:numId w:val="12"/>
              </w:numPr>
              <w:overflowPunct w:val="0"/>
              <w:autoSpaceDE w:val="0"/>
              <w:autoSpaceDN w:val="0"/>
              <w:adjustRightInd w:val="0"/>
              <w:spacing w:after="0" w:line="240" w:lineRule="auto"/>
              <w:rPr>
                <w:rFonts w:ascii="Century Gothic" w:hAnsi="Century Gothic"/>
                <w:sz w:val="18"/>
                <w:szCs w:val="18"/>
              </w:rPr>
            </w:pPr>
            <w:r w:rsidRPr="00BC1607">
              <w:rPr>
                <w:rFonts w:ascii="Century Gothic" w:hAnsi="Century Gothic"/>
                <w:sz w:val="18"/>
                <w:szCs w:val="18"/>
              </w:rPr>
              <w:t>Scoping opportunities on the new “Central Liquidity Facility and Shared Services Platform for SACCOs (task 3.5)</w:t>
            </w:r>
          </w:p>
        </w:tc>
        <w:tc>
          <w:tcPr>
            <w:tcW w:w="4819" w:type="dxa"/>
            <w:tcBorders>
              <w:top w:val="single" w:sz="4" w:space="0" w:color="000080"/>
              <w:left w:val="single" w:sz="4" w:space="0" w:color="000080"/>
              <w:bottom w:val="single" w:sz="4" w:space="0" w:color="000080"/>
            </w:tcBorders>
          </w:tcPr>
          <w:p w14:paraId="1BA67804" w14:textId="77777777" w:rsidR="00212C8C" w:rsidRPr="00BC1607" w:rsidRDefault="00212C8C" w:rsidP="00AA0A75">
            <w:pPr>
              <w:pStyle w:val="ListParagraph"/>
              <w:widowControl w:val="0"/>
              <w:numPr>
                <w:ilvl w:val="0"/>
                <w:numId w:val="13"/>
              </w:numPr>
              <w:tabs>
                <w:tab w:val="decimal" w:pos="601"/>
              </w:tabs>
              <w:overflowPunct w:val="0"/>
              <w:autoSpaceDE w:val="0"/>
              <w:autoSpaceDN w:val="0"/>
              <w:adjustRightInd w:val="0"/>
              <w:spacing w:after="0" w:line="240" w:lineRule="auto"/>
              <w:rPr>
                <w:rFonts w:ascii="Century Gothic" w:hAnsi="Century Gothic" w:cs="Arial"/>
                <w:sz w:val="18"/>
                <w:szCs w:val="18"/>
              </w:rPr>
            </w:pPr>
            <w:r w:rsidRPr="00BC1607">
              <w:rPr>
                <w:rFonts w:ascii="Century Gothic" w:hAnsi="Century Gothic" w:cs="Arial"/>
                <w:sz w:val="18"/>
                <w:szCs w:val="18"/>
              </w:rPr>
              <w:t>Report summarising remittances opportunities for the SACCO central</w:t>
            </w:r>
          </w:p>
        </w:tc>
      </w:tr>
      <w:tr w:rsidR="00212C8C" w:rsidRPr="00BC1607" w14:paraId="44029971" w14:textId="77777777" w:rsidTr="00AA0A75">
        <w:trPr>
          <w:trHeight w:val="322"/>
        </w:trPr>
        <w:tc>
          <w:tcPr>
            <w:tcW w:w="4248" w:type="dxa"/>
            <w:tcBorders>
              <w:top w:val="single" w:sz="4" w:space="0" w:color="000080"/>
              <w:bottom w:val="single" w:sz="4" w:space="0" w:color="000080"/>
              <w:right w:val="single" w:sz="4" w:space="0" w:color="000080"/>
            </w:tcBorders>
          </w:tcPr>
          <w:p w14:paraId="0FB86C2F" w14:textId="77777777" w:rsidR="00212C8C" w:rsidRPr="00BC1607" w:rsidRDefault="00212C8C" w:rsidP="00AA0A75">
            <w:pPr>
              <w:pStyle w:val="ListParagraph"/>
              <w:widowControl w:val="0"/>
              <w:numPr>
                <w:ilvl w:val="0"/>
                <w:numId w:val="12"/>
              </w:numPr>
              <w:overflowPunct w:val="0"/>
              <w:autoSpaceDE w:val="0"/>
              <w:autoSpaceDN w:val="0"/>
              <w:adjustRightInd w:val="0"/>
              <w:spacing w:after="0" w:line="240" w:lineRule="auto"/>
              <w:rPr>
                <w:rFonts w:ascii="Century Gothic" w:hAnsi="Century Gothic"/>
                <w:sz w:val="18"/>
                <w:szCs w:val="18"/>
              </w:rPr>
            </w:pPr>
            <w:r w:rsidRPr="00BC1607">
              <w:rPr>
                <w:rFonts w:ascii="Century Gothic" w:hAnsi="Century Gothic"/>
                <w:sz w:val="18"/>
                <w:szCs w:val="18"/>
              </w:rPr>
              <w:t>Dissemination of the outputs above to various stakeholders</w:t>
            </w:r>
          </w:p>
        </w:tc>
        <w:tc>
          <w:tcPr>
            <w:tcW w:w="4819" w:type="dxa"/>
            <w:tcBorders>
              <w:top w:val="single" w:sz="4" w:space="0" w:color="000080"/>
              <w:left w:val="single" w:sz="4" w:space="0" w:color="000080"/>
              <w:bottom w:val="single" w:sz="4" w:space="0" w:color="000080"/>
            </w:tcBorders>
          </w:tcPr>
          <w:p w14:paraId="311AFF59" w14:textId="77777777" w:rsidR="00212C8C" w:rsidRPr="00BC1607" w:rsidRDefault="00212C8C" w:rsidP="00AA0A75">
            <w:pPr>
              <w:pStyle w:val="ListParagraph"/>
              <w:widowControl w:val="0"/>
              <w:numPr>
                <w:ilvl w:val="0"/>
                <w:numId w:val="13"/>
              </w:numPr>
              <w:tabs>
                <w:tab w:val="decimal" w:pos="601"/>
              </w:tabs>
              <w:overflowPunct w:val="0"/>
              <w:autoSpaceDE w:val="0"/>
              <w:autoSpaceDN w:val="0"/>
              <w:adjustRightInd w:val="0"/>
              <w:spacing w:after="0" w:line="240" w:lineRule="auto"/>
              <w:rPr>
                <w:rFonts w:ascii="Century Gothic" w:hAnsi="Century Gothic" w:cs="Arial"/>
                <w:sz w:val="18"/>
                <w:szCs w:val="18"/>
              </w:rPr>
            </w:pPr>
            <w:r w:rsidRPr="00BC1607">
              <w:rPr>
                <w:rFonts w:ascii="Century Gothic" w:hAnsi="Century Gothic" w:cs="Arial"/>
                <w:sz w:val="18"/>
                <w:szCs w:val="18"/>
              </w:rPr>
              <w:t>Consolidated report with all the above outputs</w:t>
            </w:r>
          </w:p>
          <w:p w14:paraId="73C2BC9D" w14:textId="77777777" w:rsidR="00212C8C" w:rsidRPr="00BC1607" w:rsidRDefault="00212C8C" w:rsidP="00AA0A75">
            <w:pPr>
              <w:pStyle w:val="ListParagraph"/>
              <w:widowControl w:val="0"/>
              <w:numPr>
                <w:ilvl w:val="0"/>
                <w:numId w:val="13"/>
              </w:numPr>
              <w:tabs>
                <w:tab w:val="decimal" w:pos="601"/>
              </w:tabs>
              <w:overflowPunct w:val="0"/>
              <w:autoSpaceDE w:val="0"/>
              <w:autoSpaceDN w:val="0"/>
              <w:adjustRightInd w:val="0"/>
              <w:spacing w:after="0" w:line="240" w:lineRule="auto"/>
              <w:rPr>
                <w:rFonts w:ascii="Century Gothic" w:hAnsi="Century Gothic" w:cs="Arial"/>
                <w:sz w:val="18"/>
                <w:szCs w:val="18"/>
              </w:rPr>
            </w:pPr>
            <w:r w:rsidRPr="00BC1607">
              <w:rPr>
                <w:rFonts w:ascii="Century Gothic" w:hAnsi="Century Gothic" w:cs="Arial"/>
                <w:sz w:val="18"/>
                <w:szCs w:val="18"/>
                <w:u w:val="single"/>
              </w:rPr>
              <w:t>&gt;</w:t>
            </w:r>
            <w:r w:rsidRPr="00BC1607">
              <w:rPr>
                <w:rFonts w:ascii="Century Gothic" w:hAnsi="Century Gothic"/>
                <w:sz w:val="18"/>
                <w:szCs w:val="18"/>
              </w:rPr>
              <w:t xml:space="preserve"> </w:t>
            </w:r>
            <w:r w:rsidRPr="00BC1607">
              <w:rPr>
                <w:rFonts w:ascii="Century Gothic" w:hAnsi="Century Gothic" w:cs="Arial"/>
                <w:sz w:val="18"/>
                <w:szCs w:val="18"/>
              </w:rPr>
              <w:t xml:space="preserve">3 workshops with targeted audiences to validate research </w:t>
            </w:r>
            <w:proofErr w:type="gramStart"/>
            <w:r w:rsidRPr="00BC1607">
              <w:rPr>
                <w:rFonts w:ascii="Century Gothic" w:hAnsi="Century Gothic" w:cs="Arial"/>
                <w:sz w:val="18"/>
                <w:szCs w:val="18"/>
              </w:rPr>
              <w:t>findings</w:t>
            </w:r>
            <w:proofErr w:type="gramEnd"/>
            <w:r w:rsidRPr="00BC1607">
              <w:rPr>
                <w:rFonts w:ascii="Century Gothic" w:hAnsi="Century Gothic" w:cs="Arial"/>
                <w:sz w:val="18"/>
                <w:szCs w:val="18"/>
              </w:rPr>
              <w:t xml:space="preserve"> </w:t>
            </w:r>
          </w:p>
          <w:p w14:paraId="10CAD796" w14:textId="77777777" w:rsidR="00212C8C" w:rsidRPr="00BC1607" w:rsidRDefault="00212C8C" w:rsidP="00AA0A75">
            <w:pPr>
              <w:pStyle w:val="ListParagraph"/>
              <w:widowControl w:val="0"/>
              <w:numPr>
                <w:ilvl w:val="0"/>
                <w:numId w:val="13"/>
              </w:numPr>
              <w:tabs>
                <w:tab w:val="decimal" w:pos="601"/>
              </w:tabs>
              <w:overflowPunct w:val="0"/>
              <w:autoSpaceDE w:val="0"/>
              <w:autoSpaceDN w:val="0"/>
              <w:adjustRightInd w:val="0"/>
              <w:spacing w:after="0" w:line="240" w:lineRule="auto"/>
              <w:rPr>
                <w:rFonts w:ascii="Century Gothic" w:hAnsi="Century Gothic" w:cs="Arial"/>
                <w:sz w:val="18"/>
                <w:szCs w:val="18"/>
              </w:rPr>
            </w:pPr>
            <w:r w:rsidRPr="00BC1607">
              <w:rPr>
                <w:rFonts w:ascii="Century Gothic" w:hAnsi="Century Gothic" w:cs="Arial"/>
                <w:sz w:val="18"/>
                <w:szCs w:val="18"/>
                <w:u w:val="single"/>
              </w:rPr>
              <w:t>&gt;</w:t>
            </w:r>
            <w:r w:rsidRPr="00BC1607">
              <w:rPr>
                <w:rFonts w:ascii="Century Gothic" w:hAnsi="Century Gothic"/>
                <w:sz w:val="18"/>
                <w:szCs w:val="18"/>
              </w:rPr>
              <w:t xml:space="preserve"> </w:t>
            </w:r>
            <w:r w:rsidRPr="00BC1607">
              <w:rPr>
                <w:rFonts w:ascii="Century Gothic" w:hAnsi="Century Gothic" w:cs="Arial"/>
                <w:sz w:val="18"/>
                <w:szCs w:val="18"/>
              </w:rPr>
              <w:t>3 webinars. conferences/stakeholder gathering/knowledge exchange.</w:t>
            </w:r>
          </w:p>
          <w:p w14:paraId="0A824E4D" w14:textId="14BDA3D6" w:rsidR="00212C8C" w:rsidRPr="00BC1607" w:rsidRDefault="00212C8C" w:rsidP="00AA0A75">
            <w:pPr>
              <w:pStyle w:val="ListParagraph"/>
              <w:widowControl w:val="0"/>
              <w:numPr>
                <w:ilvl w:val="0"/>
                <w:numId w:val="13"/>
              </w:numPr>
              <w:tabs>
                <w:tab w:val="decimal" w:pos="601"/>
              </w:tabs>
              <w:overflowPunct w:val="0"/>
              <w:autoSpaceDE w:val="0"/>
              <w:autoSpaceDN w:val="0"/>
              <w:adjustRightInd w:val="0"/>
              <w:spacing w:after="0" w:line="240" w:lineRule="auto"/>
              <w:rPr>
                <w:rFonts w:ascii="Century Gothic" w:hAnsi="Century Gothic" w:cs="Arial"/>
                <w:sz w:val="18"/>
                <w:szCs w:val="18"/>
              </w:rPr>
            </w:pPr>
            <w:r w:rsidRPr="00BC1607">
              <w:rPr>
                <w:rFonts w:ascii="Century Gothic" w:hAnsi="Century Gothic" w:cs="Arial"/>
                <w:sz w:val="18"/>
                <w:szCs w:val="18"/>
                <w:u w:val="single"/>
              </w:rPr>
              <w:t xml:space="preserve">&gt; </w:t>
            </w:r>
            <w:r w:rsidRPr="00BC1607">
              <w:rPr>
                <w:rFonts w:ascii="Century Gothic" w:hAnsi="Century Gothic" w:cs="Arial"/>
                <w:sz w:val="18"/>
                <w:szCs w:val="18"/>
              </w:rPr>
              <w:t>Summary thematic reports for the websites and distribution at stakeholder events</w:t>
            </w:r>
          </w:p>
        </w:tc>
      </w:tr>
      <w:tr w:rsidR="00212C8C" w:rsidRPr="00BC1607" w14:paraId="210E0512" w14:textId="77777777" w:rsidTr="00AA0A75">
        <w:trPr>
          <w:trHeight w:val="322"/>
        </w:trPr>
        <w:tc>
          <w:tcPr>
            <w:tcW w:w="4248" w:type="dxa"/>
            <w:tcBorders>
              <w:top w:val="single" w:sz="4" w:space="0" w:color="000080"/>
              <w:bottom w:val="single" w:sz="4" w:space="0" w:color="000080"/>
              <w:right w:val="single" w:sz="4" w:space="0" w:color="000080"/>
            </w:tcBorders>
          </w:tcPr>
          <w:p w14:paraId="32C56A1B" w14:textId="77777777" w:rsidR="00212C8C" w:rsidRPr="00BC1607" w:rsidRDefault="00212C8C" w:rsidP="00AA0A75">
            <w:pPr>
              <w:pStyle w:val="ListParagraph"/>
              <w:widowControl w:val="0"/>
              <w:numPr>
                <w:ilvl w:val="0"/>
                <w:numId w:val="12"/>
              </w:numPr>
              <w:overflowPunct w:val="0"/>
              <w:autoSpaceDE w:val="0"/>
              <w:autoSpaceDN w:val="0"/>
              <w:adjustRightInd w:val="0"/>
              <w:spacing w:after="0" w:line="240" w:lineRule="auto"/>
              <w:rPr>
                <w:rFonts w:ascii="Century Gothic" w:hAnsi="Century Gothic"/>
                <w:sz w:val="18"/>
                <w:szCs w:val="18"/>
              </w:rPr>
            </w:pPr>
            <w:r w:rsidRPr="00BC1607">
              <w:rPr>
                <w:rFonts w:ascii="Century Gothic" w:hAnsi="Century Gothic"/>
                <w:sz w:val="18"/>
                <w:szCs w:val="18"/>
              </w:rPr>
              <w:t>Co-ordinating with the project manager to share progress of the work</w:t>
            </w:r>
          </w:p>
        </w:tc>
        <w:tc>
          <w:tcPr>
            <w:tcW w:w="4819" w:type="dxa"/>
            <w:tcBorders>
              <w:top w:val="single" w:sz="4" w:space="0" w:color="000080"/>
              <w:left w:val="single" w:sz="4" w:space="0" w:color="000080"/>
              <w:bottom w:val="single" w:sz="4" w:space="0" w:color="000080"/>
            </w:tcBorders>
          </w:tcPr>
          <w:p w14:paraId="5A84506B" w14:textId="77777777" w:rsidR="00212C8C" w:rsidRPr="00BC1607" w:rsidRDefault="00212C8C" w:rsidP="00AA0A75">
            <w:pPr>
              <w:pStyle w:val="ListParagraph"/>
              <w:widowControl w:val="0"/>
              <w:numPr>
                <w:ilvl w:val="0"/>
                <w:numId w:val="13"/>
              </w:numPr>
              <w:tabs>
                <w:tab w:val="decimal" w:pos="601"/>
              </w:tabs>
              <w:overflowPunct w:val="0"/>
              <w:autoSpaceDE w:val="0"/>
              <w:autoSpaceDN w:val="0"/>
              <w:adjustRightInd w:val="0"/>
              <w:spacing w:after="0" w:line="240" w:lineRule="auto"/>
              <w:rPr>
                <w:rFonts w:ascii="Century Gothic" w:hAnsi="Century Gothic" w:cs="Arial"/>
                <w:sz w:val="18"/>
                <w:szCs w:val="18"/>
              </w:rPr>
            </w:pPr>
            <w:r w:rsidRPr="00BC1607">
              <w:rPr>
                <w:rFonts w:ascii="Century Gothic" w:hAnsi="Century Gothic" w:cs="Arial"/>
                <w:sz w:val="18"/>
                <w:szCs w:val="18"/>
              </w:rPr>
              <w:t>Input to the progress report to be shared with FSD and IFAD</w:t>
            </w:r>
          </w:p>
        </w:tc>
      </w:tr>
      <w:tr w:rsidR="00212C8C" w:rsidRPr="00BC1607" w14:paraId="1D1BEAD6" w14:textId="77777777" w:rsidTr="00AA0A75">
        <w:trPr>
          <w:trHeight w:val="322"/>
        </w:trPr>
        <w:tc>
          <w:tcPr>
            <w:tcW w:w="4248" w:type="dxa"/>
            <w:tcBorders>
              <w:top w:val="single" w:sz="4" w:space="0" w:color="000080"/>
              <w:bottom w:val="single" w:sz="4" w:space="0" w:color="000080"/>
              <w:right w:val="single" w:sz="4" w:space="0" w:color="FFFFFF"/>
            </w:tcBorders>
            <w:shd w:val="clear" w:color="auto" w:fill="000080"/>
          </w:tcPr>
          <w:p w14:paraId="31E5421B" w14:textId="77777777" w:rsidR="00212C8C" w:rsidRPr="00BC1607" w:rsidRDefault="00212C8C" w:rsidP="00AA0A75">
            <w:pPr>
              <w:spacing w:line="240" w:lineRule="auto"/>
              <w:rPr>
                <w:rFonts w:ascii="Century Gothic" w:hAnsi="Century Gothic" w:cs="Arial"/>
                <w:b/>
                <w:sz w:val="18"/>
                <w:szCs w:val="18"/>
              </w:rPr>
            </w:pPr>
          </w:p>
        </w:tc>
        <w:tc>
          <w:tcPr>
            <w:tcW w:w="4819" w:type="dxa"/>
            <w:tcBorders>
              <w:top w:val="single" w:sz="4" w:space="0" w:color="000080"/>
              <w:left w:val="single" w:sz="4" w:space="0" w:color="FFFFFF"/>
              <w:bottom w:val="single" w:sz="4" w:space="0" w:color="000080"/>
            </w:tcBorders>
            <w:shd w:val="clear" w:color="auto" w:fill="000080"/>
          </w:tcPr>
          <w:p w14:paraId="4325D2FC" w14:textId="77777777" w:rsidR="00212C8C" w:rsidRPr="00BC1607" w:rsidRDefault="00212C8C" w:rsidP="00AA0A75">
            <w:pPr>
              <w:tabs>
                <w:tab w:val="decimal" w:pos="601"/>
              </w:tabs>
              <w:spacing w:line="240" w:lineRule="auto"/>
              <w:rPr>
                <w:rFonts w:ascii="Century Gothic" w:hAnsi="Century Gothic" w:cs="Arial"/>
                <w:b/>
                <w:sz w:val="18"/>
                <w:szCs w:val="18"/>
              </w:rPr>
            </w:pPr>
          </w:p>
        </w:tc>
      </w:tr>
    </w:tbl>
    <w:p w14:paraId="2D155794" w14:textId="4A4315B1" w:rsidR="00212C8C" w:rsidRPr="00AA0A75" w:rsidRDefault="00212C8C" w:rsidP="00AA0A75">
      <w:pPr>
        <w:keepNext/>
        <w:keepLines/>
        <w:spacing w:line="240" w:lineRule="auto"/>
        <w:jc w:val="both"/>
        <w:rPr>
          <w:rFonts w:ascii="Century Gothic" w:hAnsi="Century Gothic"/>
          <w:sz w:val="20"/>
        </w:rPr>
      </w:pPr>
      <w:r w:rsidRPr="00AA0A75">
        <w:rPr>
          <w:rFonts w:ascii="Century Gothic" w:hAnsi="Century Gothic"/>
          <w:sz w:val="20"/>
        </w:rPr>
        <w:t xml:space="preserve"> </w:t>
      </w:r>
    </w:p>
    <w:p w14:paraId="26CD81DD" w14:textId="77777777" w:rsidR="00212C8C" w:rsidRPr="00AA0A75" w:rsidRDefault="00212C8C" w:rsidP="00AA0A75">
      <w:pPr>
        <w:keepNext/>
        <w:keepLines/>
        <w:widowControl w:val="0"/>
        <w:numPr>
          <w:ilvl w:val="0"/>
          <w:numId w:val="1"/>
        </w:numPr>
        <w:tabs>
          <w:tab w:val="num" w:pos="360"/>
        </w:tabs>
        <w:spacing w:line="240" w:lineRule="auto"/>
        <w:ind w:left="360"/>
        <w:jc w:val="both"/>
        <w:rPr>
          <w:rFonts w:ascii="Century Gothic" w:hAnsi="Century Gothic"/>
          <w:b/>
          <w:caps/>
          <w:sz w:val="20"/>
        </w:rPr>
      </w:pPr>
      <w:r w:rsidRPr="00AA0A75">
        <w:rPr>
          <w:rFonts w:ascii="Century Gothic" w:hAnsi="Century Gothic"/>
          <w:b/>
          <w:caps/>
          <w:sz w:val="20"/>
        </w:rPr>
        <w:t>REQUIREMENTS</w:t>
      </w:r>
    </w:p>
    <w:p w14:paraId="34FBBE7F" w14:textId="77777777" w:rsidR="00212C8C" w:rsidRPr="00AA0A75" w:rsidRDefault="00212C8C" w:rsidP="00AA0A75">
      <w:pPr>
        <w:spacing w:line="240" w:lineRule="auto"/>
        <w:jc w:val="both"/>
        <w:rPr>
          <w:rFonts w:ascii="Century Gothic" w:hAnsi="Century Gothic"/>
          <w:sz w:val="20"/>
        </w:rPr>
      </w:pPr>
    </w:p>
    <w:tbl>
      <w:tblPr>
        <w:tblW w:w="9067" w:type="dxa"/>
        <w:tblBorders>
          <w:top w:val="single" w:sz="4" w:space="0" w:color="000080"/>
          <w:left w:val="single" w:sz="4" w:space="0" w:color="000080"/>
          <w:bottom w:val="single" w:sz="4" w:space="0" w:color="000080"/>
          <w:right w:val="single" w:sz="4" w:space="0" w:color="000080"/>
          <w:insideH w:val="single" w:sz="4" w:space="0" w:color="FFFFFF"/>
          <w:insideV w:val="single" w:sz="4" w:space="0" w:color="FFFFFF"/>
        </w:tblBorders>
        <w:tblLook w:val="0000" w:firstRow="0" w:lastRow="0" w:firstColumn="0" w:lastColumn="0" w:noHBand="0" w:noVBand="0"/>
      </w:tblPr>
      <w:tblGrid>
        <w:gridCol w:w="9067"/>
      </w:tblGrid>
      <w:tr w:rsidR="00212C8C" w:rsidRPr="00BC1607" w14:paraId="67B69804" w14:textId="77777777" w:rsidTr="007D29A6">
        <w:trPr>
          <w:trHeight w:val="427"/>
        </w:trPr>
        <w:tc>
          <w:tcPr>
            <w:tcW w:w="9067" w:type="dxa"/>
            <w:tcBorders>
              <w:bottom w:val="single" w:sz="4" w:space="0" w:color="FFFFFF"/>
            </w:tcBorders>
            <w:shd w:val="clear" w:color="auto" w:fill="000080"/>
            <w:vAlign w:val="center"/>
          </w:tcPr>
          <w:p w14:paraId="38C7E55B" w14:textId="77777777" w:rsidR="00212C8C" w:rsidRPr="00BC1607" w:rsidRDefault="00212C8C" w:rsidP="00AA0A75">
            <w:pPr>
              <w:spacing w:line="240" w:lineRule="auto"/>
              <w:jc w:val="both"/>
              <w:rPr>
                <w:rFonts w:ascii="Century Gothic" w:hAnsi="Century Gothic" w:cs="Arial"/>
                <w:b/>
                <w:sz w:val="18"/>
                <w:szCs w:val="18"/>
              </w:rPr>
            </w:pPr>
            <w:r w:rsidRPr="00BC1607">
              <w:rPr>
                <w:rFonts w:ascii="Century Gothic" w:hAnsi="Century Gothic" w:cs="Arial"/>
                <w:b/>
                <w:sz w:val="18"/>
                <w:szCs w:val="18"/>
              </w:rPr>
              <w:t xml:space="preserve">Mandatory requirements </w:t>
            </w:r>
          </w:p>
        </w:tc>
      </w:tr>
      <w:tr w:rsidR="00212C8C" w:rsidRPr="00BC1607" w14:paraId="16EF1C64" w14:textId="77777777" w:rsidTr="007D29A6">
        <w:trPr>
          <w:trHeight w:val="322"/>
        </w:trPr>
        <w:tc>
          <w:tcPr>
            <w:tcW w:w="9067" w:type="dxa"/>
            <w:tcBorders>
              <w:top w:val="single" w:sz="4" w:space="0" w:color="FFFFFF"/>
              <w:bottom w:val="single" w:sz="4" w:space="0" w:color="000080"/>
            </w:tcBorders>
            <w:vAlign w:val="center"/>
          </w:tcPr>
          <w:p w14:paraId="62F2C7FD" w14:textId="77777777" w:rsidR="00212C8C" w:rsidRPr="00BC1607" w:rsidRDefault="00212C8C" w:rsidP="00AA0A75">
            <w:pPr>
              <w:pStyle w:val="Default"/>
              <w:numPr>
                <w:ilvl w:val="0"/>
                <w:numId w:val="14"/>
              </w:numPr>
              <w:jc w:val="both"/>
              <w:rPr>
                <w:rFonts w:ascii="Century Gothic" w:hAnsi="Century Gothic"/>
                <w:sz w:val="18"/>
                <w:szCs w:val="18"/>
              </w:rPr>
            </w:pPr>
            <w:r w:rsidRPr="00BC1607">
              <w:rPr>
                <w:rFonts w:ascii="Century Gothic" w:hAnsi="Century Gothic"/>
                <w:sz w:val="18"/>
                <w:szCs w:val="18"/>
              </w:rPr>
              <w:lastRenderedPageBreak/>
              <w:t>A relevant qualification in social science (minimum bachelor’s degree, masters preferred)</w:t>
            </w:r>
          </w:p>
        </w:tc>
      </w:tr>
      <w:tr w:rsidR="00212C8C" w:rsidRPr="00BC1607" w14:paraId="7CBA29B9" w14:textId="77777777" w:rsidTr="007D29A6">
        <w:trPr>
          <w:trHeight w:val="322"/>
        </w:trPr>
        <w:tc>
          <w:tcPr>
            <w:tcW w:w="9067" w:type="dxa"/>
            <w:tcBorders>
              <w:top w:val="single" w:sz="4" w:space="0" w:color="000080"/>
              <w:bottom w:val="single" w:sz="4" w:space="0" w:color="000080"/>
            </w:tcBorders>
            <w:vAlign w:val="center"/>
          </w:tcPr>
          <w:p w14:paraId="6E20D5E2" w14:textId="77777777" w:rsidR="00212C8C" w:rsidRPr="00BC1607" w:rsidRDefault="00212C8C" w:rsidP="00AA0A75">
            <w:pPr>
              <w:pStyle w:val="Default"/>
              <w:numPr>
                <w:ilvl w:val="0"/>
                <w:numId w:val="14"/>
              </w:numPr>
              <w:jc w:val="both"/>
              <w:rPr>
                <w:rFonts w:ascii="Century Gothic" w:hAnsi="Century Gothic"/>
                <w:sz w:val="18"/>
                <w:szCs w:val="18"/>
              </w:rPr>
            </w:pPr>
            <w:r w:rsidRPr="00BC1607">
              <w:rPr>
                <w:rFonts w:ascii="Century Gothic" w:hAnsi="Century Gothic"/>
                <w:sz w:val="18"/>
                <w:szCs w:val="18"/>
              </w:rPr>
              <w:t>Demand-side data and supply-side data expertise, preferably with direct interaction with financial service provider data using SPSS, STATA, R, NVIVO or other applicable statistical packages</w:t>
            </w:r>
          </w:p>
        </w:tc>
      </w:tr>
      <w:tr w:rsidR="00212C8C" w:rsidRPr="00BC1607" w14:paraId="76CA968C" w14:textId="77777777" w:rsidTr="007D29A6">
        <w:trPr>
          <w:trHeight w:val="322"/>
        </w:trPr>
        <w:tc>
          <w:tcPr>
            <w:tcW w:w="9067" w:type="dxa"/>
            <w:tcBorders>
              <w:top w:val="single" w:sz="4" w:space="0" w:color="000080"/>
              <w:bottom w:val="single" w:sz="4" w:space="0" w:color="000080"/>
            </w:tcBorders>
            <w:vAlign w:val="center"/>
          </w:tcPr>
          <w:p w14:paraId="0CDF8A55" w14:textId="77777777" w:rsidR="00212C8C" w:rsidRPr="00BC1607" w:rsidRDefault="00212C8C" w:rsidP="00AA0A75">
            <w:pPr>
              <w:pStyle w:val="Default"/>
              <w:numPr>
                <w:ilvl w:val="0"/>
                <w:numId w:val="14"/>
              </w:numPr>
              <w:jc w:val="both"/>
              <w:rPr>
                <w:rFonts w:ascii="Century Gothic" w:hAnsi="Century Gothic"/>
                <w:sz w:val="18"/>
                <w:szCs w:val="18"/>
              </w:rPr>
            </w:pPr>
            <w:r w:rsidRPr="00BC1607">
              <w:rPr>
                <w:rFonts w:ascii="Century Gothic" w:hAnsi="Century Gothic"/>
                <w:sz w:val="18"/>
                <w:szCs w:val="18"/>
              </w:rPr>
              <w:t>Ability to interrogate and triangulate different data types – demand-side, supply-side and real economy data to derive meaningful insights</w:t>
            </w:r>
          </w:p>
        </w:tc>
      </w:tr>
      <w:tr w:rsidR="00212C8C" w:rsidRPr="00BC1607" w14:paraId="413ACF5A" w14:textId="77777777" w:rsidTr="007D29A6">
        <w:trPr>
          <w:trHeight w:val="322"/>
        </w:trPr>
        <w:tc>
          <w:tcPr>
            <w:tcW w:w="9067" w:type="dxa"/>
            <w:tcBorders>
              <w:top w:val="single" w:sz="4" w:space="0" w:color="000080"/>
              <w:bottom w:val="single" w:sz="4" w:space="0" w:color="000080"/>
            </w:tcBorders>
            <w:vAlign w:val="center"/>
          </w:tcPr>
          <w:p w14:paraId="54FE777D" w14:textId="77777777" w:rsidR="00212C8C" w:rsidRPr="00BC1607" w:rsidRDefault="00212C8C" w:rsidP="00AA0A75">
            <w:pPr>
              <w:pStyle w:val="Default"/>
              <w:numPr>
                <w:ilvl w:val="0"/>
                <w:numId w:val="14"/>
              </w:numPr>
              <w:jc w:val="both"/>
              <w:rPr>
                <w:rFonts w:ascii="Century Gothic" w:hAnsi="Century Gothic"/>
                <w:sz w:val="18"/>
                <w:szCs w:val="18"/>
              </w:rPr>
            </w:pPr>
            <w:r w:rsidRPr="00BC1607">
              <w:rPr>
                <w:rFonts w:ascii="Century Gothic" w:hAnsi="Century Gothic"/>
                <w:sz w:val="18"/>
                <w:szCs w:val="18"/>
              </w:rPr>
              <w:t>Ability to visualise data in a compelling way and to communicate data to general as well as specialist audiences</w:t>
            </w:r>
          </w:p>
        </w:tc>
      </w:tr>
      <w:tr w:rsidR="00212C8C" w:rsidRPr="00BC1607" w14:paraId="6D34586F" w14:textId="77777777" w:rsidTr="007D29A6">
        <w:trPr>
          <w:trHeight w:val="322"/>
        </w:trPr>
        <w:tc>
          <w:tcPr>
            <w:tcW w:w="9067" w:type="dxa"/>
            <w:tcBorders>
              <w:top w:val="single" w:sz="4" w:space="0" w:color="000080"/>
              <w:bottom w:val="single" w:sz="4" w:space="0" w:color="000080"/>
            </w:tcBorders>
            <w:vAlign w:val="center"/>
          </w:tcPr>
          <w:p w14:paraId="08317A7A" w14:textId="77777777" w:rsidR="00212C8C" w:rsidRPr="00BC1607" w:rsidRDefault="00212C8C" w:rsidP="00AA0A75">
            <w:pPr>
              <w:pStyle w:val="Default"/>
              <w:numPr>
                <w:ilvl w:val="0"/>
                <w:numId w:val="14"/>
              </w:numPr>
              <w:jc w:val="both"/>
              <w:rPr>
                <w:rFonts w:ascii="Century Gothic" w:hAnsi="Century Gothic"/>
                <w:noProof/>
                <w:sz w:val="18"/>
                <w:szCs w:val="18"/>
              </w:rPr>
            </w:pPr>
            <w:r w:rsidRPr="00BC1607">
              <w:rPr>
                <w:rFonts w:ascii="Century Gothic" w:hAnsi="Century Gothic"/>
                <w:noProof/>
                <w:sz w:val="18"/>
                <w:szCs w:val="18"/>
              </w:rPr>
              <w:t>A deep understanding of the remittances and payments ecosystems and value chains (policy and industry stakeholders, channels, solutions etc)</w:t>
            </w:r>
          </w:p>
        </w:tc>
      </w:tr>
      <w:tr w:rsidR="00212C8C" w:rsidRPr="00BC1607" w14:paraId="6397FA85" w14:textId="77777777" w:rsidTr="007D29A6">
        <w:trPr>
          <w:trHeight w:val="322"/>
        </w:trPr>
        <w:tc>
          <w:tcPr>
            <w:tcW w:w="9067" w:type="dxa"/>
            <w:tcBorders>
              <w:top w:val="single" w:sz="4" w:space="0" w:color="000080"/>
              <w:bottom w:val="single" w:sz="4" w:space="0" w:color="000080"/>
            </w:tcBorders>
            <w:vAlign w:val="center"/>
          </w:tcPr>
          <w:p w14:paraId="0C318A6C" w14:textId="77777777" w:rsidR="00212C8C" w:rsidRPr="00BC1607" w:rsidRDefault="00212C8C" w:rsidP="00AA0A75">
            <w:pPr>
              <w:pStyle w:val="Default"/>
              <w:numPr>
                <w:ilvl w:val="0"/>
                <w:numId w:val="14"/>
              </w:numPr>
              <w:jc w:val="both"/>
              <w:rPr>
                <w:rFonts w:ascii="Century Gothic" w:hAnsi="Century Gothic"/>
                <w:sz w:val="18"/>
                <w:szCs w:val="18"/>
              </w:rPr>
            </w:pPr>
            <w:r w:rsidRPr="00BC1607">
              <w:rPr>
                <w:rFonts w:ascii="Century Gothic" w:hAnsi="Century Gothic"/>
                <w:noProof/>
                <w:sz w:val="18"/>
                <w:szCs w:val="18"/>
              </w:rPr>
              <w:t>Ability to work independently and deliver against deadlines.</w:t>
            </w:r>
          </w:p>
        </w:tc>
      </w:tr>
      <w:tr w:rsidR="00212C8C" w:rsidRPr="00BC1607" w14:paraId="400C5CA4" w14:textId="77777777" w:rsidTr="007D29A6">
        <w:trPr>
          <w:trHeight w:val="322"/>
        </w:trPr>
        <w:tc>
          <w:tcPr>
            <w:tcW w:w="9067" w:type="dxa"/>
            <w:tcBorders>
              <w:top w:val="single" w:sz="4" w:space="0" w:color="000080"/>
              <w:bottom w:val="single" w:sz="4" w:space="0" w:color="000080"/>
            </w:tcBorders>
            <w:vAlign w:val="center"/>
          </w:tcPr>
          <w:p w14:paraId="58729D60" w14:textId="77777777" w:rsidR="00212C8C" w:rsidRPr="00BC1607" w:rsidRDefault="00212C8C" w:rsidP="00AA0A75">
            <w:pPr>
              <w:pStyle w:val="ListParagraph"/>
              <w:widowControl w:val="0"/>
              <w:numPr>
                <w:ilvl w:val="0"/>
                <w:numId w:val="14"/>
              </w:numPr>
              <w:overflowPunct w:val="0"/>
              <w:autoSpaceDE w:val="0"/>
              <w:autoSpaceDN w:val="0"/>
              <w:adjustRightInd w:val="0"/>
              <w:spacing w:after="0" w:line="240" w:lineRule="auto"/>
              <w:jc w:val="both"/>
              <w:rPr>
                <w:rFonts w:ascii="Century Gothic" w:hAnsi="Century Gothic" w:cs="Arial"/>
                <w:sz w:val="18"/>
                <w:szCs w:val="18"/>
              </w:rPr>
            </w:pPr>
            <w:r w:rsidRPr="00BC1607">
              <w:rPr>
                <w:rFonts w:ascii="Century Gothic" w:hAnsi="Century Gothic" w:cs="Arial"/>
                <w:sz w:val="18"/>
                <w:szCs w:val="18"/>
              </w:rPr>
              <w:t>Excellent spoken and written English</w:t>
            </w:r>
          </w:p>
        </w:tc>
      </w:tr>
    </w:tbl>
    <w:p w14:paraId="354AE794" w14:textId="77777777" w:rsidR="00212C8C" w:rsidRPr="00AA0A75" w:rsidRDefault="00212C8C" w:rsidP="00AA0A75">
      <w:pPr>
        <w:spacing w:line="240" w:lineRule="auto"/>
        <w:jc w:val="both"/>
        <w:rPr>
          <w:rFonts w:ascii="Century Gothic" w:hAnsi="Century Gothic"/>
          <w:sz w:val="20"/>
        </w:rPr>
      </w:pPr>
    </w:p>
    <w:p w14:paraId="15A2F71A" w14:textId="4E495F57" w:rsidR="00212C8C" w:rsidRPr="00AA0A75" w:rsidRDefault="00212C8C" w:rsidP="00AA0A75">
      <w:pPr>
        <w:keepNext/>
        <w:keepLines/>
        <w:widowControl w:val="0"/>
        <w:numPr>
          <w:ilvl w:val="0"/>
          <w:numId w:val="1"/>
        </w:numPr>
        <w:tabs>
          <w:tab w:val="num" w:pos="360"/>
        </w:tabs>
        <w:spacing w:line="240" w:lineRule="auto"/>
        <w:ind w:left="360"/>
        <w:jc w:val="both"/>
        <w:rPr>
          <w:rFonts w:ascii="Century Gothic" w:hAnsi="Century Gothic"/>
          <w:b/>
          <w:caps/>
          <w:sz w:val="20"/>
        </w:rPr>
      </w:pPr>
      <w:r w:rsidRPr="00AA0A75">
        <w:rPr>
          <w:rFonts w:ascii="Century Gothic" w:hAnsi="Century Gothic"/>
          <w:b/>
          <w:caps/>
          <w:sz w:val="20"/>
        </w:rPr>
        <w:t>EVALUATION</w:t>
      </w:r>
      <w:r w:rsidR="003F6165" w:rsidRPr="00AA0A75">
        <w:rPr>
          <w:rFonts w:ascii="Century Gothic" w:hAnsi="Century Gothic"/>
          <w:b/>
          <w:caps/>
          <w:sz w:val="20"/>
        </w:rPr>
        <w:t xml:space="preserve"> CRITERIA</w:t>
      </w:r>
    </w:p>
    <w:p w14:paraId="27EE6E39" w14:textId="77777777" w:rsidR="00212C8C" w:rsidRPr="00AA0A75" w:rsidRDefault="00212C8C" w:rsidP="00AA0A75">
      <w:pPr>
        <w:spacing w:line="240" w:lineRule="auto"/>
        <w:jc w:val="both"/>
        <w:rPr>
          <w:rFonts w:ascii="Century Gothic" w:hAnsi="Century Gothic"/>
          <w:sz w:val="20"/>
        </w:rPr>
      </w:pPr>
    </w:p>
    <w:tbl>
      <w:tblPr>
        <w:tblW w:w="9072" w:type="dxa"/>
        <w:tblInd w:w="-8" w:type="dxa"/>
        <w:tblCellMar>
          <w:top w:w="50" w:type="dxa"/>
          <w:left w:w="67" w:type="dxa"/>
          <w:bottom w:w="8" w:type="dxa"/>
          <w:right w:w="0" w:type="dxa"/>
        </w:tblCellMar>
        <w:tblLook w:val="04A0" w:firstRow="1" w:lastRow="0" w:firstColumn="1" w:lastColumn="0" w:noHBand="0" w:noVBand="1"/>
      </w:tblPr>
      <w:tblGrid>
        <w:gridCol w:w="426"/>
        <w:gridCol w:w="7616"/>
        <w:gridCol w:w="1030"/>
      </w:tblGrid>
      <w:tr w:rsidR="00212C8C" w:rsidRPr="00BC1607" w14:paraId="0F88DCCC" w14:textId="77777777" w:rsidTr="007D29A6">
        <w:trPr>
          <w:trHeight w:val="20"/>
          <w:tblHeader/>
        </w:trPr>
        <w:tc>
          <w:tcPr>
            <w:tcW w:w="9072" w:type="dxa"/>
            <w:gridSpan w:val="3"/>
            <w:tcBorders>
              <w:top w:val="single" w:sz="6" w:space="0" w:color="000000"/>
              <w:left w:val="single" w:sz="6" w:space="0" w:color="000000"/>
              <w:bottom w:val="single" w:sz="6" w:space="0" w:color="000000"/>
              <w:right w:val="single" w:sz="6" w:space="0" w:color="000000"/>
            </w:tcBorders>
            <w:shd w:val="clear" w:color="auto" w:fill="000080"/>
          </w:tcPr>
          <w:p w14:paraId="01074904" w14:textId="77777777" w:rsidR="00212C8C" w:rsidRPr="00BC1607" w:rsidRDefault="00212C8C" w:rsidP="00AA0A75">
            <w:pPr>
              <w:spacing w:line="240" w:lineRule="auto"/>
              <w:ind w:right="564"/>
              <w:jc w:val="both"/>
              <w:rPr>
                <w:rFonts w:ascii="Century Gothic" w:hAnsi="Century Gothic"/>
                <w:sz w:val="18"/>
                <w:szCs w:val="18"/>
              </w:rPr>
            </w:pPr>
            <w:bookmarkStart w:id="0" w:name="_Hlk27653622"/>
            <w:r w:rsidRPr="00BC1607">
              <w:rPr>
                <w:rFonts w:ascii="Century Gothic" w:hAnsi="Century Gothic"/>
                <w:b/>
                <w:sz w:val="18"/>
                <w:szCs w:val="18"/>
              </w:rPr>
              <w:t>Evaluation criteria (provide response in TECH FORM)</w:t>
            </w:r>
            <w:r w:rsidRPr="00BC1607">
              <w:rPr>
                <w:rFonts w:ascii="Century Gothic" w:hAnsi="Century Gothic"/>
                <w:sz w:val="18"/>
                <w:szCs w:val="18"/>
              </w:rPr>
              <w:t xml:space="preserve"> </w:t>
            </w:r>
          </w:p>
        </w:tc>
      </w:tr>
      <w:tr w:rsidR="00212C8C" w:rsidRPr="00BC1607" w14:paraId="16F7EECD" w14:textId="77777777" w:rsidTr="00BC1607">
        <w:trPr>
          <w:trHeight w:val="20"/>
          <w:tblHeader/>
        </w:trPr>
        <w:tc>
          <w:tcPr>
            <w:tcW w:w="8042" w:type="dxa"/>
            <w:gridSpan w:val="2"/>
            <w:tcBorders>
              <w:top w:val="single" w:sz="6" w:space="0" w:color="000000"/>
              <w:left w:val="single" w:sz="6" w:space="0" w:color="000000"/>
              <w:bottom w:val="single" w:sz="6" w:space="0" w:color="000000"/>
              <w:right w:val="single" w:sz="6" w:space="0" w:color="000000"/>
            </w:tcBorders>
            <w:shd w:val="clear" w:color="auto" w:fill="000080"/>
          </w:tcPr>
          <w:p w14:paraId="108B3663" w14:textId="77777777" w:rsidR="00212C8C" w:rsidRPr="00BC1607" w:rsidRDefault="00212C8C" w:rsidP="00AA0A75">
            <w:pPr>
              <w:spacing w:line="240" w:lineRule="auto"/>
              <w:jc w:val="both"/>
              <w:rPr>
                <w:rFonts w:ascii="Century Gothic" w:hAnsi="Century Gothic" w:cs="Arial"/>
                <w:b/>
                <w:sz w:val="18"/>
                <w:szCs w:val="18"/>
              </w:rPr>
            </w:pPr>
            <w:r w:rsidRPr="00BC1607">
              <w:rPr>
                <w:rFonts w:ascii="Century Gothic" w:hAnsi="Century Gothic" w:cs="Arial"/>
                <w:b/>
                <w:sz w:val="18"/>
                <w:szCs w:val="18"/>
              </w:rPr>
              <w:t xml:space="preserve">Criteria, sub-criteria, and point system for the evaluation of Technical Proposals </w:t>
            </w:r>
          </w:p>
        </w:tc>
        <w:tc>
          <w:tcPr>
            <w:tcW w:w="1030" w:type="dxa"/>
            <w:tcBorders>
              <w:top w:val="single" w:sz="6" w:space="0" w:color="000000"/>
              <w:left w:val="single" w:sz="6" w:space="0" w:color="000000"/>
              <w:bottom w:val="single" w:sz="6" w:space="0" w:color="000000"/>
              <w:right w:val="single" w:sz="6" w:space="0" w:color="000000"/>
            </w:tcBorders>
            <w:shd w:val="clear" w:color="auto" w:fill="000080"/>
          </w:tcPr>
          <w:p w14:paraId="47B21C63" w14:textId="77777777" w:rsidR="00212C8C" w:rsidRPr="00BC1607" w:rsidRDefault="00212C8C" w:rsidP="00AA0A75">
            <w:pPr>
              <w:spacing w:line="240" w:lineRule="auto"/>
              <w:jc w:val="both"/>
              <w:rPr>
                <w:rFonts w:ascii="Century Gothic" w:hAnsi="Century Gothic" w:cs="Arial"/>
                <w:b/>
                <w:sz w:val="18"/>
                <w:szCs w:val="18"/>
              </w:rPr>
            </w:pPr>
            <w:r w:rsidRPr="00BC1607">
              <w:rPr>
                <w:rFonts w:ascii="Century Gothic" w:hAnsi="Century Gothic" w:cs="Arial"/>
                <w:b/>
                <w:sz w:val="18"/>
                <w:szCs w:val="18"/>
              </w:rPr>
              <w:t>Weighting (%)</w:t>
            </w:r>
          </w:p>
        </w:tc>
      </w:tr>
      <w:tr w:rsidR="00212C8C" w:rsidRPr="00BC1607" w14:paraId="1CCA1006" w14:textId="77777777" w:rsidTr="00BC1607">
        <w:trPr>
          <w:trHeight w:val="20"/>
        </w:trPr>
        <w:tc>
          <w:tcPr>
            <w:tcW w:w="426" w:type="dxa"/>
            <w:tcBorders>
              <w:top w:val="single" w:sz="6" w:space="0" w:color="000000"/>
              <w:left w:val="single" w:sz="6" w:space="0" w:color="000000"/>
              <w:bottom w:val="single" w:sz="6" w:space="0" w:color="000000"/>
              <w:right w:val="single" w:sz="4" w:space="0" w:color="000000"/>
            </w:tcBorders>
            <w:shd w:val="clear" w:color="auto" w:fill="auto"/>
          </w:tcPr>
          <w:p w14:paraId="4090EEC3" w14:textId="77777777" w:rsidR="00212C8C" w:rsidRPr="00BC1607" w:rsidRDefault="00212C8C" w:rsidP="00AA0A75">
            <w:pPr>
              <w:spacing w:line="240" w:lineRule="auto"/>
              <w:ind w:left="5"/>
              <w:jc w:val="both"/>
              <w:rPr>
                <w:rFonts w:ascii="Century Gothic" w:hAnsi="Century Gothic"/>
                <w:b/>
                <w:sz w:val="18"/>
                <w:szCs w:val="18"/>
              </w:rPr>
            </w:pPr>
            <w:r w:rsidRPr="00BC1607">
              <w:rPr>
                <w:rFonts w:ascii="Century Gothic" w:hAnsi="Century Gothic"/>
                <w:b/>
                <w:sz w:val="18"/>
                <w:szCs w:val="18"/>
              </w:rPr>
              <w:t>1</w:t>
            </w:r>
          </w:p>
        </w:tc>
        <w:tc>
          <w:tcPr>
            <w:tcW w:w="7616" w:type="dxa"/>
            <w:tcBorders>
              <w:top w:val="single" w:sz="6" w:space="0" w:color="000000"/>
              <w:left w:val="single" w:sz="4" w:space="0" w:color="000000"/>
              <w:bottom w:val="single" w:sz="6" w:space="0" w:color="000000"/>
              <w:right w:val="single" w:sz="4" w:space="0" w:color="000000"/>
            </w:tcBorders>
            <w:shd w:val="clear" w:color="auto" w:fill="auto"/>
          </w:tcPr>
          <w:p w14:paraId="132482D6" w14:textId="77777777" w:rsidR="00212C8C" w:rsidRPr="00BC1607" w:rsidRDefault="00212C8C" w:rsidP="00AA0A75">
            <w:pPr>
              <w:spacing w:line="240" w:lineRule="auto"/>
              <w:ind w:left="5"/>
              <w:jc w:val="both"/>
              <w:rPr>
                <w:rFonts w:ascii="Century Gothic" w:hAnsi="Century Gothic"/>
                <w:sz w:val="18"/>
                <w:szCs w:val="18"/>
              </w:rPr>
            </w:pPr>
            <w:r w:rsidRPr="00BC1607">
              <w:rPr>
                <w:rFonts w:ascii="Century Gothic" w:hAnsi="Century Gothic"/>
                <w:b/>
                <w:sz w:val="18"/>
                <w:szCs w:val="18"/>
              </w:rPr>
              <w:t>Experience and qualification of the Consultant (evaluated via forms TECH-2)</w:t>
            </w:r>
          </w:p>
        </w:tc>
        <w:tc>
          <w:tcPr>
            <w:tcW w:w="1030" w:type="dxa"/>
            <w:tcBorders>
              <w:top w:val="single" w:sz="6" w:space="0" w:color="000000"/>
              <w:left w:val="single" w:sz="4" w:space="0" w:color="000000"/>
              <w:bottom w:val="single" w:sz="6" w:space="0" w:color="000000"/>
              <w:right w:val="single" w:sz="4" w:space="0" w:color="000000"/>
            </w:tcBorders>
            <w:shd w:val="clear" w:color="auto" w:fill="auto"/>
          </w:tcPr>
          <w:p w14:paraId="7ABC16F8" w14:textId="77777777" w:rsidR="00212C8C" w:rsidRPr="00BC1607" w:rsidRDefault="00212C8C" w:rsidP="00AA0A75">
            <w:pPr>
              <w:spacing w:line="240" w:lineRule="auto"/>
              <w:ind w:left="5"/>
              <w:jc w:val="both"/>
              <w:rPr>
                <w:rFonts w:ascii="Century Gothic" w:hAnsi="Century Gothic"/>
                <w:b/>
                <w:bCs/>
                <w:sz w:val="18"/>
                <w:szCs w:val="18"/>
              </w:rPr>
            </w:pPr>
          </w:p>
        </w:tc>
      </w:tr>
      <w:tr w:rsidR="00212C8C" w:rsidRPr="00BC1607" w14:paraId="66D18564" w14:textId="77777777" w:rsidTr="00BC1607">
        <w:trPr>
          <w:trHeight w:val="124"/>
        </w:trPr>
        <w:tc>
          <w:tcPr>
            <w:tcW w:w="426" w:type="dxa"/>
            <w:tcBorders>
              <w:top w:val="single" w:sz="6" w:space="0" w:color="000000"/>
              <w:left w:val="single" w:sz="6" w:space="0" w:color="000000"/>
              <w:bottom w:val="single" w:sz="6" w:space="0" w:color="000000"/>
              <w:right w:val="single" w:sz="4" w:space="0" w:color="000000"/>
            </w:tcBorders>
            <w:shd w:val="clear" w:color="auto" w:fill="auto"/>
          </w:tcPr>
          <w:p w14:paraId="0ED56743" w14:textId="77777777" w:rsidR="00212C8C" w:rsidRPr="00BC1607" w:rsidRDefault="00212C8C" w:rsidP="00AA0A75">
            <w:pPr>
              <w:spacing w:line="240" w:lineRule="auto"/>
              <w:ind w:left="5"/>
              <w:jc w:val="both"/>
              <w:rPr>
                <w:rFonts w:ascii="Century Gothic" w:hAnsi="Century Gothic"/>
                <w:bCs/>
                <w:sz w:val="18"/>
                <w:szCs w:val="18"/>
              </w:rPr>
            </w:pPr>
            <w:r w:rsidRPr="00BC1607">
              <w:rPr>
                <w:rFonts w:ascii="Century Gothic" w:hAnsi="Century Gothic"/>
                <w:bCs/>
                <w:sz w:val="18"/>
                <w:szCs w:val="18"/>
              </w:rPr>
              <w:t>1.1</w:t>
            </w:r>
          </w:p>
        </w:tc>
        <w:tc>
          <w:tcPr>
            <w:tcW w:w="7616" w:type="dxa"/>
            <w:tcBorders>
              <w:top w:val="single" w:sz="6" w:space="0" w:color="000000"/>
              <w:left w:val="single" w:sz="4" w:space="0" w:color="000000"/>
              <w:bottom w:val="single" w:sz="6" w:space="0" w:color="000000"/>
              <w:right w:val="single" w:sz="4" w:space="0" w:color="000000"/>
            </w:tcBorders>
            <w:shd w:val="clear" w:color="auto" w:fill="auto"/>
          </w:tcPr>
          <w:p w14:paraId="2BE727D8" w14:textId="77777777" w:rsidR="00212C8C" w:rsidRPr="00BC1607" w:rsidRDefault="00212C8C" w:rsidP="00AA0A75">
            <w:pPr>
              <w:spacing w:line="240" w:lineRule="auto"/>
              <w:ind w:right="40"/>
              <w:jc w:val="both"/>
              <w:rPr>
                <w:rFonts w:ascii="Century Gothic" w:hAnsi="Century Gothic"/>
                <w:sz w:val="18"/>
                <w:szCs w:val="18"/>
              </w:rPr>
            </w:pPr>
            <w:r w:rsidRPr="00BC1607">
              <w:rPr>
                <w:rFonts w:ascii="Century Gothic" w:hAnsi="Century Gothic"/>
                <w:sz w:val="18"/>
                <w:szCs w:val="18"/>
              </w:rPr>
              <w:t>Track record and reputation for high quality quantitative and qualitative research</w:t>
            </w:r>
          </w:p>
        </w:tc>
        <w:tc>
          <w:tcPr>
            <w:tcW w:w="1030" w:type="dxa"/>
            <w:tcBorders>
              <w:top w:val="single" w:sz="6" w:space="0" w:color="000000"/>
              <w:left w:val="single" w:sz="4" w:space="0" w:color="000000"/>
              <w:bottom w:val="single" w:sz="6" w:space="0" w:color="000000"/>
              <w:right w:val="single" w:sz="4" w:space="0" w:color="000000"/>
            </w:tcBorders>
            <w:shd w:val="clear" w:color="auto" w:fill="auto"/>
          </w:tcPr>
          <w:p w14:paraId="5DF04D47" w14:textId="77777777" w:rsidR="00212C8C" w:rsidRPr="00BC1607" w:rsidRDefault="00212C8C" w:rsidP="00AA0A75">
            <w:pPr>
              <w:spacing w:line="240" w:lineRule="auto"/>
              <w:ind w:left="5"/>
              <w:jc w:val="both"/>
              <w:rPr>
                <w:rFonts w:ascii="Century Gothic" w:hAnsi="Century Gothic"/>
                <w:sz w:val="18"/>
                <w:szCs w:val="18"/>
              </w:rPr>
            </w:pPr>
            <w:r w:rsidRPr="00BC1607">
              <w:rPr>
                <w:rFonts w:ascii="Century Gothic" w:hAnsi="Century Gothic"/>
                <w:sz w:val="18"/>
                <w:szCs w:val="18"/>
              </w:rPr>
              <w:t>15</w:t>
            </w:r>
          </w:p>
        </w:tc>
      </w:tr>
      <w:tr w:rsidR="00212C8C" w:rsidRPr="00BC1607" w14:paraId="471712A6" w14:textId="77777777" w:rsidTr="00BC1607">
        <w:trPr>
          <w:trHeight w:val="20"/>
        </w:trPr>
        <w:tc>
          <w:tcPr>
            <w:tcW w:w="426" w:type="dxa"/>
            <w:tcBorders>
              <w:top w:val="single" w:sz="6" w:space="0" w:color="000000"/>
              <w:left w:val="single" w:sz="6" w:space="0" w:color="000000"/>
              <w:bottom w:val="single" w:sz="6" w:space="0" w:color="000000"/>
              <w:right w:val="single" w:sz="4" w:space="0" w:color="000000"/>
            </w:tcBorders>
            <w:shd w:val="clear" w:color="auto" w:fill="auto"/>
          </w:tcPr>
          <w:p w14:paraId="0EF73D0D" w14:textId="77777777" w:rsidR="00212C8C" w:rsidRPr="00BC1607" w:rsidRDefault="00212C8C" w:rsidP="00AA0A75">
            <w:pPr>
              <w:spacing w:line="240" w:lineRule="auto"/>
              <w:ind w:left="5"/>
              <w:jc w:val="both"/>
              <w:rPr>
                <w:rFonts w:ascii="Century Gothic" w:hAnsi="Century Gothic"/>
                <w:bCs/>
                <w:sz w:val="18"/>
                <w:szCs w:val="18"/>
              </w:rPr>
            </w:pPr>
            <w:r w:rsidRPr="00BC1607">
              <w:rPr>
                <w:rFonts w:ascii="Century Gothic" w:hAnsi="Century Gothic"/>
                <w:bCs/>
                <w:sz w:val="18"/>
                <w:szCs w:val="18"/>
              </w:rPr>
              <w:t>1.2</w:t>
            </w:r>
          </w:p>
        </w:tc>
        <w:tc>
          <w:tcPr>
            <w:tcW w:w="7616" w:type="dxa"/>
            <w:tcBorders>
              <w:top w:val="single" w:sz="6" w:space="0" w:color="000000"/>
              <w:left w:val="single" w:sz="4" w:space="0" w:color="000000"/>
              <w:bottom w:val="single" w:sz="6" w:space="0" w:color="000000"/>
              <w:right w:val="single" w:sz="4" w:space="0" w:color="000000"/>
            </w:tcBorders>
            <w:shd w:val="clear" w:color="auto" w:fill="auto"/>
          </w:tcPr>
          <w:p w14:paraId="3DEDC888" w14:textId="77777777" w:rsidR="00212C8C" w:rsidRPr="00BC1607" w:rsidRDefault="00212C8C" w:rsidP="00AA0A75">
            <w:pPr>
              <w:spacing w:line="240" w:lineRule="auto"/>
              <w:ind w:right="40"/>
              <w:jc w:val="both"/>
              <w:rPr>
                <w:rFonts w:ascii="Century Gothic" w:hAnsi="Century Gothic"/>
                <w:sz w:val="18"/>
                <w:szCs w:val="18"/>
              </w:rPr>
            </w:pPr>
            <w:r w:rsidRPr="00BC1607">
              <w:rPr>
                <w:rFonts w:ascii="Century Gothic" w:hAnsi="Century Gothic"/>
                <w:sz w:val="18"/>
                <w:szCs w:val="18"/>
              </w:rPr>
              <w:t xml:space="preserve">Experience in application of analytics and research findings for development, </w:t>
            </w:r>
            <w:proofErr w:type="gramStart"/>
            <w:r w:rsidRPr="00BC1607">
              <w:rPr>
                <w:rFonts w:ascii="Century Gothic" w:hAnsi="Century Gothic"/>
                <w:sz w:val="18"/>
                <w:szCs w:val="18"/>
              </w:rPr>
              <w:t>policy</w:t>
            </w:r>
            <w:proofErr w:type="gramEnd"/>
            <w:r w:rsidRPr="00BC1607">
              <w:rPr>
                <w:rFonts w:ascii="Century Gothic" w:hAnsi="Century Gothic"/>
                <w:sz w:val="18"/>
                <w:szCs w:val="18"/>
              </w:rPr>
              <w:t xml:space="preserve"> and industry </w:t>
            </w:r>
          </w:p>
        </w:tc>
        <w:tc>
          <w:tcPr>
            <w:tcW w:w="1030" w:type="dxa"/>
            <w:tcBorders>
              <w:top w:val="single" w:sz="6" w:space="0" w:color="000000"/>
              <w:left w:val="single" w:sz="4" w:space="0" w:color="000000"/>
              <w:bottom w:val="single" w:sz="6" w:space="0" w:color="000000"/>
              <w:right w:val="single" w:sz="4" w:space="0" w:color="000000"/>
            </w:tcBorders>
            <w:shd w:val="clear" w:color="auto" w:fill="auto"/>
          </w:tcPr>
          <w:p w14:paraId="6632D4B5" w14:textId="77777777" w:rsidR="00212C8C" w:rsidRPr="00BC1607" w:rsidRDefault="00212C8C" w:rsidP="00AA0A75">
            <w:pPr>
              <w:spacing w:line="240" w:lineRule="auto"/>
              <w:ind w:left="5"/>
              <w:jc w:val="both"/>
              <w:rPr>
                <w:rFonts w:ascii="Century Gothic" w:hAnsi="Century Gothic"/>
                <w:sz w:val="18"/>
                <w:szCs w:val="18"/>
              </w:rPr>
            </w:pPr>
            <w:r w:rsidRPr="00BC1607">
              <w:rPr>
                <w:rFonts w:ascii="Century Gothic" w:hAnsi="Century Gothic"/>
                <w:sz w:val="18"/>
                <w:szCs w:val="18"/>
              </w:rPr>
              <w:t>15</w:t>
            </w:r>
          </w:p>
        </w:tc>
      </w:tr>
      <w:tr w:rsidR="00212C8C" w:rsidRPr="00BC1607" w14:paraId="6FADE67A" w14:textId="77777777" w:rsidTr="00BC1607">
        <w:trPr>
          <w:trHeight w:val="20"/>
        </w:trPr>
        <w:tc>
          <w:tcPr>
            <w:tcW w:w="426" w:type="dxa"/>
            <w:tcBorders>
              <w:top w:val="single" w:sz="6" w:space="0" w:color="000000"/>
              <w:left w:val="single" w:sz="6" w:space="0" w:color="000000"/>
              <w:bottom w:val="single" w:sz="6" w:space="0" w:color="000000"/>
              <w:right w:val="single" w:sz="4" w:space="0" w:color="000000"/>
            </w:tcBorders>
            <w:shd w:val="clear" w:color="auto" w:fill="auto"/>
          </w:tcPr>
          <w:p w14:paraId="5B333D8C" w14:textId="77777777" w:rsidR="00212C8C" w:rsidRPr="00BC1607" w:rsidRDefault="00212C8C" w:rsidP="00AA0A75">
            <w:pPr>
              <w:spacing w:line="240" w:lineRule="auto"/>
              <w:ind w:left="5"/>
              <w:jc w:val="both"/>
              <w:rPr>
                <w:rFonts w:ascii="Century Gothic" w:hAnsi="Century Gothic"/>
                <w:b/>
                <w:sz w:val="18"/>
                <w:szCs w:val="18"/>
              </w:rPr>
            </w:pPr>
            <w:r w:rsidRPr="00BC1607">
              <w:rPr>
                <w:rFonts w:ascii="Century Gothic" w:hAnsi="Century Gothic"/>
                <w:bCs/>
                <w:sz w:val="18"/>
                <w:szCs w:val="18"/>
              </w:rPr>
              <w:t>1.3</w:t>
            </w:r>
          </w:p>
        </w:tc>
        <w:tc>
          <w:tcPr>
            <w:tcW w:w="7616" w:type="dxa"/>
            <w:tcBorders>
              <w:top w:val="single" w:sz="6" w:space="0" w:color="000000"/>
              <w:left w:val="single" w:sz="4" w:space="0" w:color="000000"/>
              <w:bottom w:val="single" w:sz="6" w:space="0" w:color="000000"/>
              <w:right w:val="single" w:sz="4" w:space="0" w:color="000000"/>
            </w:tcBorders>
            <w:shd w:val="clear" w:color="auto" w:fill="auto"/>
          </w:tcPr>
          <w:p w14:paraId="57CD1C7E" w14:textId="77777777" w:rsidR="00212C8C" w:rsidRPr="00BC1607" w:rsidRDefault="00212C8C" w:rsidP="00AA0A75">
            <w:pPr>
              <w:spacing w:line="240" w:lineRule="auto"/>
              <w:ind w:right="40"/>
              <w:jc w:val="both"/>
              <w:rPr>
                <w:rFonts w:ascii="Century Gothic" w:hAnsi="Century Gothic"/>
                <w:sz w:val="18"/>
                <w:szCs w:val="18"/>
                <w:lang w:val="en-US"/>
              </w:rPr>
            </w:pPr>
            <w:r w:rsidRPr="00BC1607">
              <w:rPr>
                <w:rFonts w:ascii="Century Gothic" w:hAnsi="Century Gothic"/>
                <w:sz w:val="18"/>
                <w:szCs w:val="18"/>
              </w:rPr>
              <w:t xml:space="preserve">Understanding of the payments and remittance ecosystem  </w:t>
            </w:r>
          </w:p>
        </w:tc>
        <w:tc>
          <w:tcPr>
            <w:tcW w:w="1030" w:type="dxa"/>
            <w:tcBorders>
              <w:top w:val="single" w:sz="6" w:space="0" w:color="000000"/>
              <w:left w:val="single" w:sz="4" w:space="0" w:color="000000"/>
              <w:bottom w:val="single" w:sz="6" w:space="0" w:color="000000"/>
              <w:right w:val="single" w:sz="4" w:space="0" w:color="000000"/>
            </w:tcBorders>
            <w:shd w:val="clear" w:color="auto" w:fill="auto"/>
          </w:tcPr>
          <w:p w14:paraId="72CAF88B" w14:textId="77777777" w:rsidR="00212C8C" w:rsidRPr="00BC1607" w:rsidRDefault="00212C8C" w:rsidP="00AA0A75">
            <w:pPr>
              <w:spacing w:line="240" w:lineRule="auto"/>
              <w:ind w:left="5"/>
              <w:jc w:val="both"/>
              <w:rPr>
                <w:rFonts w:ascii="Century Gothic" w:hAnsi="Century Gothic"/>
                <w:sz w:val="18"/>
                <w:szCs w:val="18"/>
              </w:rPr>
            </w:pPr>
            <w:r w:rsidRPr="00BC1607">
              <w:rPr>
                <w:rFonts w:ascii="Century Gothic" w:hAnsi="Century Gothic"/>
                <w:sz w:val="18"/>
                <w:szCs w:val="18"/>
              </w:rPr>
              <w:t>10</w:t>
            </w:r>
          </w:p>
        </w:tc>
      </w:tr>
      <w:tr w:rsidR="00212C8C" w:rsidRPr="00BC1607" w14:paraId="479207F8" w14:textId="77777777" w:rsidTr="00BC1607">
        <w:trPr>
          <w:trHeight w:val="20"/>
        </w:trPr>
        <w:tc>
          <w:tcPr>
            <w:tcW w:w="426" w:type="dxa"/>
            <w:tcBorders>
              <w:top w:val="single" w:sz="6" w:space="0" w:color="000000"/>
              <w:left w:val="single" w:sz="6" w:space="0" w:color="000000"/>
              <w:bottom w:val="single" w:sz="6" w:space="0" w:color="000000"/>
              <w:right w:val="single" w:sz="4" w:space="0" w:color="000000"/>
            </w:tcBorders>
            <w:shd w:val="clear" w:color="auto" w:fill="auto"/>
          </w:tcPr>
          <w:p w14:paraId="7D6FCB6E" w14:textId="77777777" w:rsidR="00212C8C" w:rsidRPr="00BC1607" w:rsidRDefault="00212C8C" w:rsidP="00AA0A75">
            <w:pPr>
              <w:spacing w:line="240" w:lineRule="auto"/>
              <w:ind w:left="5"/>
              <w:jc w:val="both"/>
              <w:rPr>
                <w:rFonts w:ascii="Century Gothic" w:hAnsi="Century Gothic"/>
                <w:b/>
                <w:sz w:val="18"/>
                <w:szCs w:val="18"/>
              </w:rPr>
            </w:pPr>
          </w:p>
        </w:tc>
        <w:tc>
          <w:tcPr>
            <w:tcW w:w="7616" w:type="dxa"/>
            <w:tcBorders>
              <w:top w:val="single" w:sz="6" w:space="0" w:color="000000"/>
              <w:left w:val="single" w:sz="4" w:space="0" w:color="000000"/>
              <w:bottom w:val="single" w:sz="6" w:space="0" w:color="000000"/>
              <w:right w:val="single" w:sz="4" w:space="0" w:color="000000"/>
            </w:tcBorders>
            <w:shd w:val="clear" w:color="auto" w:fill="auto"/>
          </w:tcPr>
          <w:p w14:paraId="44DC3791" w14:textId="77777777" w:rsidR="00212C8C" w:rsidRPr="00BC1607" w:rsidRDefault="00212C8C" w:rsidP="00AA0A75">
            <w:pPr>
              <w:spacing w:line="240" w:lineRule="auto"/>
              <w:ind w:left="5"/>
              <w:jc w:val="both"/>
              <w:rPr>
                <w:rFonts w:ascii="Century Gothic" w:hAnsi="Century Gothic"/>
                <w:sz w:val="18"/>
                <w:szCs w:val="18"/>
              </w:rPr>
            </w:pPr>
            <w:r w:rsidRPr="00BC1607">
              <w:rPr>
                <w:rFonts w:ascii="Century Gothic" w:hAnsi="Century Gothic"/>
                <w:b/>
                <w:sz w:val="18"/>
                <w:szCs w:val="18"/>
              </w:rPr>
              <w:t>Total Points for this criterion</w:t>
            </w:r>
          </w:p>
        </w:tc>
        <w:tc>
          <w:tcPr>
            <w:tcW w:w="1030" w:type="dxa"/>
            <w:tcBorders>
              <w:top w:val="single" w:sz="6" w:space="0" w:color="000000"/>
              <w:left w:val="single" w:sz="4" w:space="0" w:color="000000"/>
              <w:bottom w:val="single" w:sz="6" w:space="0" w:color="000000"/>
              <w:right w:val="single" w:sz="4" w:space="0" w:color="000000"/>
            </w:tcBorders>
            <w:shd w:val="clear" w:color="auto" w:fill="auto"/>
          </w:tcPr>
          <w:p w14:paraId="4F4C9236" w14:textId="77777777" w:rsidR="00212C8C" w:rsidRPr="00BC1607" w:rsidRDefault="00212C8C" w:rsidP="00AA0A75">
            <w:pPr>
              <w:spacing w:line="240" w:lineRule="auto"/>
              <w:jc w:val="both"/>
              <w:rPr>
                <w:rFonts w:ascii="Century Gothic" w:hAnsi="Century Gothic"/>
                <w:b/>
                <w:bCs/>
                <w:sz w:val="18"/>
                <w:szCs w:val="18"/>
              </w:rPr>
            </w:pPr>
            <w:r w:rsidRPr="00BC1607">
              <w:rPr>
                <w:rFonts w:ascii="Century Gothic" w:hAnsi="Century Gothic"/>
                <w:b/>
                <w:bCs/>
                <w:sz w:val="18"/>
                <w:szCs w:val="18"/>
              </w:rPr>
              <w:t>40</w:t>
            </w:r>
          </w:p>
        </w:tc>
      </w:tr>
      <w:tr w:rsidR="00212C8C" w:rsidRPr="00BC1607" w14:paraId="3EBB2AD7" w14:textId="77777777" w:rsidTr="00BC1607">
        <w:trPr>
          <w:trHeight w:val="20"/>
        </w:trPr>
        <w:tc>
          <w:tcPr>
            <w:tcW w:w="426" w:type="dxa"/>
            <w:tcBorders>
              <w:top w:val="single" w:sz="6" w:space="0" w:color="000000"/>
              <w:left w:val="single" w:sz="6" w:space="0" w:color="000000"/>
              <w:bottom w:val="single" w:sz="6" w:space="0" w:color="000000"/>
              <w:right w:val="single" w:sz="4" w:space="0" w:color="000000"/>
            </w:tcBorders>
            <w:shd w:val="clear" w:color="auto" w:fill="auto"/>
          </w:tcPr>
          <w:p w14:paraId="48489394" w14:textId="77777777" w:rsidR="00212C8C" w:rsidRPr="00BC1607" w:rsidRDefault="00212C8C" w:rsidP="00AA0A75">
            <w:pPr>
              <w:spacing w:line="240" w:lineRule="auto"/>
              <w:ind w:left="5"/>
              <w:jc w:val="both"/>
              <w:rPr>
                <w:rFonts w:ascii="Century Gothic" w:hAnsi="Century Gothic"/>
                <w:b/>
                <w:bCs/>
                <w:sz w:val="18"/>
                <w:szCs w:val="18"/>
              </w:rPr>
            </w:pPr>
            <w:r w:rsidRPr="00BC1607">
              <w:rPr>
                <w:rFonts w:ascii="Century Gothic" w:hAnsi="Century Gothic"/>
                <w:b/>
                <w:bCs/>
                <w:sz w:val="18"/>
                <w:szCs w:val="18"/>
              </w:rPr>
              <w:t>2</w:t>
            </w:r>
          </w:p>
        </w:tc>
        <w:tc>
          <w:tcPr>
            <w:tcW w:w="7616" w:type="dxa"/>
            <w:tcBorders>
              <w:top w:val="single" w:sz="6" w:space="0" w:color="000000"/>
              <w:left w:val="single" w:sz="4" w:space="0" w:color="000000"/>
              <w:bottom w:val="single" w:sz="6" w:space="0" w:color="000000"/>
              <w:right w:val="single" w:sz="4" w:space="0" w:color="000000"/>
            </w:tcBorders>
            <w:shd w:val="clear" w:color="auto" w:fill="auto"/>
          </w:tcPr>
          <w:p w14:paraId="2352707B" w14:textId="77777777" w:rsidR="00212C8C" w:rsidRPr="00BC1607" w:rsidRDefault="00212C8C" w:rsidP="00AA0A75">
            <w:pPr>
              <w:spacing w:line="240" w:lineRule="auto"/>
              <w:ind w:left="5"/>
              <w:jc w:val="both"/>
              <w:rPr>
                <w:rFonts w:ascii="Century Gothic" w:hAnsi="Century Gothic"/>
                <w:b/>
                <w:bCs/>
                <w:sz w:val="18"/>
                <w:szCs w:val="18"/>
              </w:rPr>
            </w:pPr>
            <w:r w:rsidRPr="00BC1607">
              <w:rPr>
                <w:rFonts w:ascii="Century Gothic" w:hAnsi="Century Gothic"/>
                <w:b/>
                <w:bCs/>
                <w:sz w:val="18"/>
                <w:szCs w:val="18"/>
              </w:rPr>
              <w:t>Approach and methodology (evaluated via forms TECH-4)</w:t>
            </w:r>
          </w:p>
        </w:tc>
        <w:tc>
          <w:tcPr>
            <w:tcW w:w="1030" w:type="dxa"/>
            <w:tcBorders>
              <w:top w:val="single" w:sz="6" w:space="0" w:color="000000"/>
              <w:left w:val="single" w:sz="4" w:space="0" w:color="000000"/>
              <w:bottom w:val="single" w:sz="6" w:space="0" w:color="000000"/>
              <w:right w:val="single" w:sz="4" w:space="0" w:color="000000"/>
            </w:tcBorders>
            <w:shd w:val="clear" w:color="auto" w:fill="auto"/>
          </w:tcPr>
          <w:p w14:paraId="2CB1DEC0" w14:textId="77777777" w:rsidR="00212C8C" w:rsidRPr="00BC1607" w:rsidRDefault="00212C8C" w:rsidP="00AA0A75">
            <w:pPr>
              <w:spacing w:line="240" w:lineRule="auto"/>
              <w:ind w:left="5"/>
              <w:jc w:val="both"/>
              <w:rPr>
                <w:rFonts w:ascii="Century Gothic" w:hAnsi="Century Gothic"/>
                <w:b/>
                <w:bCs/>
                <w:sz w:val="18"/>
                <w:szCs w:val="18"/>
              </w:rPr>
            </w:pPr>
          </w:p>
        </w:tc>
      </w:tr>
      <w:tr w:rsidR="00212C8C" w:rsidRPr="00BC1607" w14:paraId="184B8952" w14:textId="77777777" w:rsidTr="00BC1607">
        <w:trPr>
          <w:trHeight w:val="20"/>
        </w:trPr>
        <w:tc>
          <w:tcPr>
            <w:tcW w:w="426" w:type="dxa"/>
            <w:tcBorders>
              <w:top w:val="single" w:sz="6" w:space="0" w:color="000000"/>
              <w:left w:val="single" w:sz="6" w:space="0" w:color="000000"/>
              <w:bottom w:val="single" w:sz="6" w:space="0" w:color="000000"/>
              <w:right w:val="single" w:sz="6" w:space="0" w:color="000000"/>
            </w:tcBorders>
            <w:shd w:val="clear" w:color="auto" w:fill="auto"/>
          </w:tcPr>
          <w:p w14:paraId="2D6751B3" w14:textId="77777777" w:rsidR="00212C8C" w:rsidRPr="00BC1607" w:rsidRDefault="00212C8C" w:rsidP="00AA0A75">
            <w:pPr>
              <w:spacing w:line="240" w:lineRule="auto"/>
              <w:ind w:left="5"/>
              <w:jc w:val="both"/>
              <w:rPr>
                <w:rFonts w:ascii="Century Gothic" w:hAnsi="Century Gothic"/>
                <w:sz w:val="18"/>
                <w:szCs w:val="18"/>
              </w:rPr>
            </w:pPr>
            <w:r w:rsidRPr="00BC1607">
              <w:rPr>
                <w:rFonts w:ascii="Century Gothic" w:hAnsi="Century Gothic"/>
                <w:sz w:val="18"/>
                <w:szCs w:val="18"/>
              </w:rPr>
              <w:t>2.1</w:t>
            </w:r>
          </w:p>
        </w:tc>
        <w:tc>
          <w:tcPr>
            <w:tcW w:w="7616" w:type="dxa"/>
            <w:tcBorders>
              <w:top w:val="single" w:sz="6" w:space="0" w:color="000000"/>
              <w:left w:val="single" w:sz="6" w:space="0" w:color="000000"/>
              <w:bottom w:val="single" w:sz="6" w:space="0" w:color="000000"/>
              <w:right w:val="single" w:sz="6" w:space="0" w:color="000000"/>
            </w:tcBorders>
            <w:shd w:val="clear" w:color="auto" w:fill="auto"/>
          </w:tcPr>
          <w:p w14:paraId="6FB60077" w14:textId="77777777" w:rsidR="00212C8C" w:rsidRPr="00BC1607" w:rsidRDefault="00212C8C" w:rsidP="00AA0A75">
            <w:pPr>
              <w:spacing w:line="240" w:lineRule="auto"/>
              <w:ind w:right="40"/>
              <w:jc w:val="both"/>
              <w:rPr>
                <w:rFonts w:ascii="Century Gothic" w:hAnsi="Century Gothic"/>
                <w:sz w:val="18"/>
                <w:szCs w:val="18"/>
                <w:lang w:val="en-US"/>
              </w:rPr>
            </w:pPr>
            <w:r w:rsidRPr="00BC1607">
              <w:rPr>
                <w:rFonts w:ascii="Century Gothic" w:hAnsi="Century Gothic"/>
                <w:sz w:val="18"/>
                <w:szCs w:val="18"/>
              </w:rPr>
              <w:t>Quality and relevance of the proposed approach and methodology</w:t>
            </w:r>
          </w:p>
        </w:tc>
        <w:tc>
          <w:tcPr>
            <w:tcW w:w="1030" w:type="dxa"/>
            <w:tcBorders>
              <w:top w:val="single" w:sz="6" w:space="0" w:color="000000"/>
              <w:left w:val="single" w:sz="6" w:space="0" w:color="000000"/>
              <w:bottom w:val="single" w:sz="6" w:space="0" w:color="000000"/>
              <w:right w:val="single" w:sz="6" w:space="0" w:color="000000"/>
            </w:tcBorders>
            <w:shd w:val="clear" w:color="auto" w:fill="auto"/>
          </w:tcPr>
          <w:p w14:paraId="343CB72A" w14:textId="77777777" w:rsidR="00212C8C" w:rsidRPr="00BC1607" w:rsidRDefault="00212C8C" w:rsidP="00AA0A75">
            <w:pPr>
              <w:spacing w:line="240" w:lineRule="auto"/>
              <w:ind w:left="5"/>
              <w:jc w:val="both"/>
              <w:rPr>
                <w:rFonts w:ascii="Century Gothic" w:hAnsi="Century Gothic"/>
                <w:sz w:val="18"/>
                <w:szCs w:val="18"/>
              </w:rPr>
            </w:pPr>
            <w:r w:rsidRPr="00BC1607">
              <w:rPr>
                <w:rFonts w:ascii="Century Gothic" w:hAnsi="Century Gothic"/>
                <w:sz w:val="18"/>
                <w:szCs w:val="18"/>
              </w:rPr>
              <w:t>15</w:t>
            </w:r>
          </w:p>
        </w:tc>
      </w:tr>
      <w:tr w:rsidR="00212C8C" w:rsidRPr="00BC1607" w14:paraId="6C1C51EE" w14:textId="77777777" w:rsidTr="00BC1607">
        <w:trPr>
          <w:trHeight w:val="20"/>
        </w:trPr>
        <w:tc>
          <w:tcPr>
            <w:tcW w:w="426" w:type="dxa"/>
            <w:tcBorders>
              <w:top w:val="single" w:sz="6" w:space="0" w:color="000000"/>
              <w:left w:val="single" w:sz="6" w:space="0" w:color="000000"/>
              <w:bottom w:val="single" w:sz="6" w:space="0" w:color="000000"/>
              <w:right w:val="single" w:sz="6" w:space="0" w:color="000000"/>
            </w:tcBorders>
            <w:shd w:val="clear" w:color="auto" w:fill="auto"/>
          </w:tcPr>
          <w:p w14:paraId="24DFD812" w14:textId="77777777" w:rsidR="00212C8C" w:rsidRPr="00BC1607" w:rsidRDefault="00212C8C" w:rsidP="00AA0A75">
            <w:pPr>
              <w:spacing w:line="240" w:lineRule="auto"/>
              <w:ind w:left="5"/>
              <w:jc w:val="both"/>
              <w:rPr>
                <w:rFonts w:ascii="Century Gothic" w:hAnsi="Century Gothic"/>
                <w:b/>
                <w:bCs/>
                <w:sz w:val="18"/>
                <w:szCs w:val="18"/>
              </w:rPr>
            </w:pPr>
          </w:p>
        </w:tc>
        <w:tc>
          <w:tcPr>
            <w:tcW w:w="7616" w:type="dxa"/>
            <w:tcBorders>
              <w:top w:val="single" w:sz="6" w:space="0" w:color="000000"/>
              <w:left w:val="single" w:sz="6" w:space="0" w:color="000000"/>
              <w:bottom w:val="single" w:sz="6" w:space="0" w:color="000000"/>
              <w:right w:val="single" w:sz="6" w:space="0" w:color="000000"/>
            </w:tcBorders>
            <w:shd w:val="clear" w:color="auto" w:fill="auto"/>
          </w:tcPr>
          <w:p w14:paraId="3A70F6BE" w14:textId="77777777" w:rsidR="00212C8C" w:rsidRPr="00BC1607" w:rsidRDefault="00212C8C" w:rsidP="00AA0A75">
            <w:pPr>
              <w:spacing w:line="240" w:lineRule="auto"/>
              <w:ind w:right="40"/>
              <w:jc w:val="both"/>
              <w:rPr>
                <w:rFonts w:ascii="Century Gothic" w:hAnsi="Century Gothic"/>
                <w:b/>
                <w:bCs/>
                <w:sz w:val="18"/>
                <w:szCs w:val="18"/>
              </w:rPr>
            </w:pPr>
            <w:r w:rsidRPr="00BC1607">
              <w:rPr>
                <w:rFonts w:ascii="Century Gothic" w:hAnsi="Century Gothic"/>
                <w:b/>
                <w:bCs/>
                <w:sz w:val="18"/>
                <w:szCs w:val="18"/>
              </w:rPr>
              <w:t>Total Points for this criterion</w:t>
            </w:r>
          </w:p>
        </w:tc>
        <w:tc>
          <w:tcPr>
            <w:tcW w:w="1030" w:type="dxa"/>
            <w:tcBorders>
              <w:top w:val="single" w:sz="6" w:space="0" w:color="000000"/>
              <w:left w:val="single" w:sz="6" w:space="0" w:color="000000"/>
              <w:bottom w:val="single" w:sz="6" w:space="0" w:color="000000"/>
              <w:right w:val="single" w:sz="6" w:space="0" w:color="000000"/>
            </w:tcBorders>
            <w:shd w:val="clear" w:color="auto" w:fill="auto"/>
          </w:tcPr>
          <w:p w14:paraId="1AB6A673" w14:textId="77777777" w:rsidR="00212C8C" w:rsidRPr="00BC1607" w:rsidRDefault="00212C8C" w:rsidP="00AA0A75">
            <w:pPr>
              <w:spacing w:line="240" w:lineRule="auto"/>
              <w:ind w:left="5"/>
              <w:jc w:val="both"/>
              <w:rPr>
                <w:rFonts w:ascii="Century Gothic" w:hAnsi="Century Gothic"/>
                <w:b/>
                <w:bCs/>
                <w:sz w:val="18"/>
                <w:szCs w:val="18"/>
              </w:rPr>
            </w:pPr>
            <w:r w:rsidRPr="00BC1607">
              <w:rPr>
                <w:rFonts w:ascii="Century Gothic" w:hAnsi="Century Gothic"/>
                <w:b/>
                <w:bCs/>
                <w:sz w:val="18"/>
                <w:szCs w:val="18"/>
              </w:rPr>
              <w:t>15</w:t>
            </w:r>
          </w:p>
        </w:tc>
      </w:tr>
      <w:tr w:rsidR="00212C8C" w:rsidRPr="00BC1607" w14:paraId="229C7D8A" w14:textId="77777777" w:rsidTr="00BC1607">
        <w:trPr>
          <w:trHeight w:val="20"/>
        </w:trPr>
        <w:tc>
          <w:tcPr>
            <w:tcW w:w="426" w:type="dxa"/>
            <w:tcBorders>
              <w:top w:val="single" w:sz="6" w:space="0" w:color="000000"/>
              <w:left w:val="single" w:sz="6" w:space="0" w:color="000000"/>
              <w:bottom w:val="single" w:sz="6" w:space="0" w:color="000000"/>
              <w:right w:val="single" w:sz="6" w:space="0" w:color="000000"/>
            </w:tcBorders>
            <w:shd w:val="clear" w:color="auto" w:fill="auto"/>
          </w:tcPr>
          <w:p w14:paraId="15801498" w14:textId="77777777" w:rsidR="00212C8C" w:rsidRPr="00BC1607" w:rsidRDefault="00212C8C" w:rsidP="00AA0A75">
            <w:pPr>
              <w:spacing w:line="240" w:lineRule="auto"/>
              <w:ind w:left="5"/>
              <w:jc w:val="both"/>
              <w:rPr>
                <w:rFonts w:ascii="Century Gothic" w:hAnsi="Century Gothic"/>
                <w:b/>
                <w:bCs/>
                <w:sz w:val="18"/>
                <w:szCs w:val="18"/>
              </w:rPr>
            </w:pPr>
            <w:r w:rsidRPr="00BC1607">
              <w:rPr>
                <w:rFonts w:ascii="Century Gothic" w:hAnsi="Century Gothic"/>
                <w:b/>
                <w:bCs/>
                <w:sz w:val="18"/>
                <w:szCs w:val="18"/>
              </w:rPr>
              <w:t>3</w:t>
            </w:r>
          </w:p>
        </w:tc>
        <w:tc>
          <w:tcPr>
            <w:tcW w:w="7616" w:type="dxa"/>
            <w:tcBorders>
              <w:top w:val="single" w:sz="6" w:space="0" w:color="000000"/>
              <w:left w:val="single" w:sz="6" w:space="0" w:color="000000"/>
              <w:bottom w:val="single" w:sz="6" w:space="0" w:color="000000"/>
              <w:right w:val="single" w:sz="6" w:space="0" w:color="000000"/>
            </w:tcBorders>
            <w:shd w:val="clear" w:color="auto" w:fill="auto"/>
          </w:tcPr>
          <w:p w14:paraId="6DA2CBE1" w14:textId="77777777" w:rsidR="00212C8C" w:rsidRPr="00BC1607" w:rsidRDefault="00212C8C" w:rsidP="00AA0A75">
            <w:pPr>
              <w:spacing w:line="240" w:lineRule="auto"/>
              <w:ind w:right="40"/>
              <w:jc w:val="both"/>
              <w:rPr>
                <w:rFonts w:ascii="Century Gothic" w:hAnsi="Century Gothic"/>
                <w:b/>
                <w:bCs/>
                <w:sz w:val="18"/>
                <w:szCs w:val="18"/>
              </w:rPr>
            </w:pPr>
            <w:r w:rsidRPr="00BC1607">
              <w:rPr>
                <w:rFonts w:ascii="Century Gothic" w:hAnsi="Century Gothic"/>
                <w:b/>
                <w:bCs/>
                <w:sz w:val="18"/>
                <w:szCs w:val="18"/>
              </w:rPr>
              <w:t xml:space="preserve">Staff schedule, </w:t>
            </w:r>
            <w:proofErr w:type="gramStart"/>
            <w:r w:rsidRPr="00BC1607">
              <w:rPr>
                <w:rFonts w:ascii="Century Gothic" w:hAnsi="Century Gothic"/>
                <w:b/>
                <w:bCs/>
                <w:sz w:val="18"/>
                <w:szCs w:val="18"/>
              </w:rPr>
              <w:t>work</w:t>
            </w:r>
            <w:proofErr w:type="gramEnd"/>
            <w:r w:rsidRPr="00BC1607">
              <w:rPr>
                <w:rFonts w:ascii="Century Gothic" w:hAnsi="Century Gothic"/>
                <w:b/>
                <w:bCs/>
                <w:sz w:val="18"/>
                <w:szCs w:val="18"/>
              </w:rPr>
              <w:t xml:space="preserve"> and deliverable schedule (evaluated via form Tech 6,7 &amp; 8)</w:t>
            </w:r>
          </w:p>
        </w:tc>
        <w:tc>
          <w:tcPr>
            <w:tcW w:w="1030" w:type="dxa"/>
            <w:tcBorders>
              <w:top w:val="single" w:sz="6" w:space="0" w:color="000000"/>
              <w:left w:val="single" w:sz="6" w:space="0" w:color="000000"/>
              <w:bottom w:val="single" w:sz="6" w:space="0" w:color="000000"/>
              <w:right w:val="single" w:sz="6" w:space="0" w:color="000000"/>
            </w:tcBorders>
            <w:shd w:val="clear" w:color="auto" w:fill="auto"/>
          </w:tcPr>
          <w:p w14:paraId="19746D94" w14:textId="77777777" w:rsidR="00212C8C" w:rsidRPr="00BC1607" w:rsidRDefault="00212C8C" w:rsidP="00AA0A75">
            <w:pPr>
              <w:spacing w:line="240" w:lineRule="auto"/>
              <w:ind w:left="5"/>
              <w:jc w:val="both"/>
              <w:rPr>
                <w:rFonts w:ascii="Century Gothic" w:hAnsi="Century Gothic"/>
                <w:b/>
                <w:bCs/>
                <w:sz w:val="18"/>
                <w:szCs w:val="18"/>
              </w:rPr>
            </w:pPr>
          </w:p>
        </w:tc>
      </w:tr>
      <w:tr w:rsidR="00212C8C" w:rsidRPr="00BC1607" w14:paraId="31A8118D" w14:textId="77777777" w:rsidTr="00BC1607">
        <w:trPr>
          <w:trHeight w:val="20"/>
        </w:trPr>
        <w:tc>
          <w:tcPr>
            <w:tcW w:w="426" w:type="dxa"/>
            <w:tcBorders>
              <w:top w:val="single" w:sz="6" w:space="0" w:color="000000"/>
              <w:left w:val="single" w:sz="6" w:space="0" w:color="000000"/>
              <w:bottom w:val="single" w:sz="6" w:space="0" w:color="000000"/>
              <w:right w:val="single" w:sz="6" w:space="0" w:color="000000"/>
            </w:tcBorders>
            <w:shd w:val="clear" w:color="auto" w:fill="auto"/>
          </w:tcPr>
          <w:p w14:paraId="6888E881" w14:textId="77777777" w:rsidR="00212C8C" w:rsidRPr="00BC1607" w:rsidRDefault="00212C8C" w:rsidP="00AA0A75">
            <w:pPr>
              <w:spacing w:line="240" w:lineRule="auto"/>
              <w:ind w:left="5"/>
              <w:jc w:val="both"/>
              <w:rPr>
                <w:rFonts w:ascii="Century Gothic" w:hAnsi="Century Gothic"/>
                <w:sz w:val="18"/>
                <w:szCs w:val="18"/>
              </w:rPr>
            </w:pPr>
            <w:r w:rsidRPr="00BC1607">
              <w:rPr>
                <w:rFonts w:ascii="Century Gothic" w:hAnsi="Century Gothic"/>
                <w:sz w:val="18"/>
                <w:szCs w:val="18"/>
              </w:rPr>
              <w:t>3.1</w:t>
            </w:r>
          </w:p>
        </w:tc>
        <w:tc>
          <w:tcPr>
            <w:tcW w:w="7616" w:type="dxa"/>
            <w:tcBorders>
              <w:top w:val="single" w:sz="6" w:space="0" w:color="000000"/>
              <w:left w:val="single" w:sz="6" w:space="0" w:color="000000"/>
              <w:bottom w:val="single" w:sz="6" w:space="0" w:color="000000"/>
              <w:right w:val="single" w:sz="6" w:space="0" w:color="000000"/>
            </w:tcBorders>
            <w:shd w:val="clear" w:color="auto" w:fill="auto"/>
          </w:tcPr>
          <w:p w14:paraId="674C80BE" w14:textId="77777777" w:rsidR="00212C8C" w:rsidRPr="00BC1607" w:rsidRDefault="00212C8C" w:rsidP="00AA0A75">
            <w:pPr>
              <w:spacing w:line="240" w:lineRule="auto"/>
              <w:ind w:right="40"/>
              <w:jc w:val="both"/>
              <w:rPr>
                <w:rFonts w:ascii="Century Gothic" w:hAnsi="Century Gothic"/>
                <w:sz w:val="18"/>
                <w:szCs w:val="18"/>
              </w:rPr>
            </w:pPr>
            <w:r w:rsidRPr="00BC1607">
              <w:rPr>
                <w:rFonts w:ascii="Century Gothic" w:hAnsi="Century Gothic"/>
                <w:sz w:val="18"/>
                <w:szCs w:val="18"/>
              </w:rPr>
              <w:t>Distribution of effort across the consultancy period</w:t>
            </w:r>
          </w:p>
        </w:tc>
        <w:tc>
          <w:tcPr>
            <w:tcW w:w="1030" w:type="dxa"/>
            <w:tcBorders>
              <w:top w:val="single" w:sz="6" w:space="0" w:color="000000"/>
              <w:left w:val="single" w:sz="6" w:space="0" w:color="000000"/>
              <w:bottom w:val="single" w:sz="6" w:space="0" w:color="000000"/>
              <w:right w:val="single" w:sz="6" w:space="0" w:color="000000"/>
            </w:tcBorders>
            <w:shd w:val="clear" w:color="auto" w:fill="auto"/>
          </w:tcPr>
          <w:p w14:paraId="7CF3D7BB" w14:textId="77777777" w:rsidR="00212C8C" w:rsidRPr="00BC1607" w:rsidRDefault="00212C8C" w:rsidP="00AA0A75">
            <w:pPr>
              <w:spacing w:line="240" w:lineRule="auto"/>
              <w:ind w:left="5"/>
              <w:jc w:val="both"/>
              <w:rPr>
                <w:rFonts w:ascii="Century Gothic" w:hAnsi="Century Gothic"/>
                <w:sz w:val="18"/>
                <w:szCs w:val="18"/>
              </w:rPr>
            </w:pPr>
            <w:r w:rsidRPr="00BC1607">
              <w:rPr>
                <w:rFonts w:ascii="Century Gothic" w:hAnsi="Century Gothic"/>
                <w:sz w:val="18"/>
                <w:szCs w:val="18"/>
              </w:rPr>
              <w:t>5</w:t>
            </w:r>
          </w:p>
        </w:tc>
      </w:tr>
      <w:tr w:rsidR="00212C8C" w:rsidRPr="00BC1607" w14:paraId="6E69C4B9" w14:textId="77777777" w:rsidTr="00BC1607">
        <w:trPr>
          <w:trHeight w:val="20"/>
        </w:trPr>
        <w:tc>
          <w:tcPr>
            <w:tcW w:w="426" w:type="dxa"/>
            <w:tcBorders>
              <w:top w:val="single" w:sz="6" w:space="0" w:color="000000"/>
              <w:left w:val="single" w:sz="6" w:space="0" w:color="000000"/>
              <w:bottom w:val="single" w:sz="6" w:space="0" w:color="000000"/>
              <w:right w:val="single" w:sz="6" w:space="0" w:color="000000"/>
            </w:tcBorders>
            <w:shd w:val="clear" w:color="auto" w:fill="auto"/>
          </w:tcPr>
          <w:p w14:paraId="17B6285D" w14:textId="77777777" w:rsidR="00212C8C" w:rsidRPr="00BC1607" w:rsidRDefault="00212C8C" w:rsidP="00AA0A75">
            <w:pPr>
              <w:spacing w:line="240" w:lineRule="auto"/>
              <w:ind w:left="5"/>
              <w:jc w:val="both"/>
              <w:rPr>
                <w:rFonts w:ascii="Century Gothic" w:hAnsi="Century Gothic"/>
                <w:sz w:val="18"/>
                <w:szCs w:val="18"/>
              </w:rPr>
            </w:pPr>
            <w:r w:rsidRPr="00BC1607">
              <w:rPr>
                <w:rFonts w:ascii="Century Gothic" w:hAnsi="Century Gothic"/>
                <w:sz w:val="18"/>
                <w:szCs w:val="18"/>
              </w:rPr>
              <w:t>3.2</w:t>
            </w:r>
          </w:p>
        </w:tc>
        <w:tc>
          <w:tcPr>
            <w:tcW w:w="7616" w:type="dxa"/>
            <w:tcBorders>
              <w:top w:val="single" w:sz="6" w:space="0" w:color="000000"/>
              <w:left w:val="single" w:sz="6" w:space="0" w:color="000000"/>
              <w:bottom w:val="single" w:sz="6" w:space="0" w:color="000000"/>
              <w:right w:val="single" w:sz="6" w:space="0" w:color="000000"/>
            </w:tcBorders>
            <w:shd w:val="clear" w:color="auto" w:fill="auto"/>
          </w:tcPr>
          <w:p w14:paraId="42373EF8" w14:textId="77777777" w:rsidR="00212C8C" w:rsidRPr="00BC1607" w:rsidRDefault="00212C8C" w:rsidP="00AA0A75">
            <w:pPr>
              <w:spacing w:line="240" w:lineRule="auto"/>
              <w:ind w:right="40"/>
              <w:jc w:val="both"/>
              <w:rPr>
                <w:rFonts w:ascii="Century Gothic" w:hAnsi="Century Gothic"/>
                <w:sz w:val="18"/>
                <w:szCs w:val="18"/>
              </w:rPr>
            </w:pPr>
            <w:r w:rsidRPr="00BC1607">
              <w:rPr>
                <w:rFonts w:ascii="Century Gothic" w:hAnsi="Century Gothic"/>
                <w:sz w:val="18"/>
                <w:szCs w:val="18"/>
              </w:rPr>
              <w:t>Availability and responsiveness to deliver the work</w:t>
            </w:r>
          </w:p>
        </w:tc>
        <w:tc>
          <w:tcPr>
            <w:tcW w:w="1030" w:type="dxa"/>
            <w:tcBorders>
              <w:top w:val="single" w:sz="6" w:space="0" w:color="000000"/>
              <w:left w:val="single" w:sz="6" w:space="0" w:color="000000"/>
              <w:bottom w:val="single" w:sz="6" w:space="0" w:color="000000"/>
              <w:right w:val="single" w:sz="6" w:space="0" w:color="000000"/>
            </w:tcBorders>
            <w:shd w:val="clear" w:color="auto" w:fill="auto"/>
          </w:tcPr>
          <w:p w14:paraId="5C7778FF" w14:textId="77777777" w:rsidR="00212C8C" w:rsidRPr="00BC1607" w:rsidRDefault="00212C8C" w:rsidP="00AA0A75">
            <w:pPr>
              <w:spacing w:line="240" w:lineRule="auto"/>
              <w:ind w:left="5"/>
              <w:jc w:val="both"/>
              <w:rPr>
                <w:rFonts w:ascii="Century Gothic" w:hAnsi="Century Gothic"/>
                <w:sz w:val="18"/>
                <w:szCs w:val="18"/>
              </w:rPr>
            </w:pPr>
            <w:r w:rsidRPr="00BC1607">
              <w:rPr>
                <w:rFonts w:ascii="Century Gothic" w:hAnsi="Century Gothic"/>
                <w:sz w:val="18"/>
                <w:szCs w:val="18"/>
              </w:rPr>
              <w:t>5</w:t>
            </w:r>
          </w:p>
        </w:tc>
      </w:tr>
      <w:tr w:rsidR="00212C8C" w:rsidRPr="00BC1607" w14:paraId="34C3844E" w14:textId="77777777" w:rsidTr="00BC1607">
        <w:trPr>
          <w:trHeight w:val="20"/>
        </w:trPr>
        <w:tc>
          <w:tcPr>
            <w:tcW w:w="426" w:type="dxa"/>
            <w:tcBorders>
              <w:top w:val="single" w:sz="6" w:space="0" w:color="000000"/>
              <w:left w:val="single" w:sz="6" w:space="0" w:color="000000"/>
              <w:bottom w:val="single" w:sz="6" w:space="0" w:color="000000"/>
              <w:right w:val="single" w:sz="6" w:space="0" w:color="000000"/>
            </w:tcBorders>
            <w:shd w:val="clear" w:color="auto" w:fill="auto"/>
          </w:tcPr>
          <w:p w14:paraId="6AACD13C" w14:textId="77777777" w:rsidR="00212C8C" w:rsidRPr="00BC1607" w:rsidRDefault="00212C8C" w:rsidP="00AA0A75">
            <w:pPr>
              <w:spacing w:line="240" w:lineRule="auto"/>
              <w:ind w:left="5"/>
              <w:jc w:val="both"/>
              <w:rPr>
                <w:rFonts w:ascii="Century Gothic" w:hAnsi="Century Gothic"/>
                <w:sz w:val="18"/>
                <w:szCs w:val="18"/>
              </w:rPr>
            </w:pPr>
          </w:p>
        </w:tc>
        <w:tc>
          <w:tcPr>
            <w:tcW w:w="7616" w:type="dxa"/>
            <w:tcBorders>
              <w:top w:val="single" w:sz="6" w:space="0" w:color="000000"/>
              <w:left w:val="single" w:sz="6" w:space="0" w:color="000000"/>
              <w:bottom w:val="single" w:sz="6" w:space="0" w:color="000000"/>
              <w:right w:val="single" w:sz="6" w:space="0" w:color="000000"/>
            </w:tcBorders>
            <w:shd w:val="clear" w:color="auto" w:fill="auto"/>
          </w:tcPr>
          <w:p w14:paraId="02E3D786" w14:textId="77777777" w:rsidR="00212C8C" w:rsidRPr="00BC1607" w:rsidRDefault="00212C8C" w:rsidP="00AA0A75">
            <w:pPr>
              <w:spacing w:line="240" w:lineRule="auto"/>
              <w:ind w:right="38"/>
              <w:jc w:val="both"/>
              <w:rPr>
                <w:rFonts w:ascii="Century Gothic" w:hAnsi="Century Gothic"/>
                <w:sz w:val="18"/>
                <w:szCs w:val="18"/>
              </w:rPr>
            </w:pPr>
            <w:r w:rsidRPr="00BC1607">
              <w:rPr>
                <w:rFonts w:ascii="Century Gothic" w:hAnsi="Century Gothic"/>
                <w:b/>
                <w:sz w:val="18"/>
                <w:szCs w:val="18"/>
              </w:rPr>
              <w:t>Total Points for this criterion</w:t>
            </w:r>
          </w:p>
        </w:tc>
        <w:tc>
          <w:tcPr>
            <w:tcW w:w="1030" w:type="dxa"/>
            <w:tcBorders>
              <w:top w:val="single" w:sz="6" w:space="0" w:color="000000"/>
              <w:left w:val="single" w:sz="6" w:space="0" w:color="000000"/>
              <w:bottom w:val="single" w:sz="6" w:space="0" w:color="000000"/>
              <w:right w:val="single" w:sz="6" w:space="0" w:color="000000"/>
            </w:tcBorders>
            <w:shd w:val="clear" w:color="auto" w:fill="auto"/>
          </w:tcPr>
          <w:p w14:paraId="79CFD24B" w14:textId="77777777" w:rsidR="00212C8C" w:rsidRPr="00BC1607" w:rsidRDefault="00212C8C" w:rsidP="00AA0A75">
            <w:pPr>
              <w:spacing w:line="240" w:lineRule="auto"/>
              <w:ind w:left="5"/>
              <w:jc w:val="both"/>
              <w:rPr>
                <w:rFonts w:ascii="Century Gothic" w:hAnsi="Century Gothic"/>
                <w:b/>
                <w:sz w:val="18"/>
                <w:szCs w:val="18"/>
              </w:rPr>
            </w:pPr>
            <w:r w:rsidRPr="00BC1607">
              <w:rPr>
                <w:rFonts w:ascii="Century Gothic" w:hAnsi="Century Gothic"/>
                <w:b/>
                <w:sz w:val="18"/>
                <w:szCs w:val="18"/>
              </w:rPr>
              <w:t>10</w:t>
            </w:r>
          </w:p>
        </w:tc>
      </w:tr>
      <w:tr w:rsidR="00212C8C" w:rsidRPr="00BC1607" w14:paraId="231E1AAF" w14:textId="77777777" w:rsidTr="00BC1607">
        <w:trPr>
          <w:trHeight w:val="20"/>
        </w:trPr>
        <w:tc>
          <w:tcPr>
            <w:tcW w:w="426" w:type="dxa"/>
            <w:tcBorders>
              <w:top w:val="single" w:sz="6" w:space="0" w:color="000000"/>
              <w:left w:val="single" w:sz="6" w:space="0" w:color="000000"/>
              <w:bottom w:val="single" w:sz="6" w:space="0" w:color="000000"/>
              <w:right w:val="single" w:sz="6" w:space="0" w:color="000000"/>
            </w:tcBorders>
            <w:shd w:val="clear" w:color="auto" w:fill="auto"/>
          </w:tcPr>
          <w:p w14:paraId="4BB774E2" w14:textId="77777777" w:rsidR="00212C8C" w:rsidRPr="00BC1607" w:rsidRDefault="00212C8C" w:rsidP="00AA0A75">
            <w:pPr>
              <w:spacing w:line="240" w:lineRule="auto"/>
              <w:ind w:left="5"/>
              <w:jc w:val="both"/>
              <w:rPr>
                <w:rFonts w:ascii="Century Gothic" w:hAnsi="Century Gothic"/>
                <w:b/>
                <w:sz w:val="18"/>
                <w:szCs w:val="18"/>
              </w:rPr>
            </w:pPr>
            <w:r w:rsidRPr="00BC1607">
              <w:rPr>
                <w:rFonts w:ascii="Century Gothic" w:hAnsi="Century Gothic"/>
                <w:b/>
                <w:sz w:val="18"/>
                <w:szCs w:val="18"/>
              </w:rPr>
              <w:t>4</w:t>
            </w:r>
          </w:p>
        </w:tc>
        <w:tc>
          <w:tcPr>
            <w:tcW w:w="7616" w:type="dxa"/>
            <w:tcBorders>
              <w:top w:val="single" w:sz="6" w:space="0" w:color="000000"/>
              <w:left w:val="single" w:sz="6" w:space="0" w:color="000000"/>
              <w:bottom w:val="single" w:sz="6" w:space="0" w:color="000000"/>
              <w:right w:val="single" w:sz="6" w:space="0" w:color="000000"/>
            </w:tcBorders>
            <w:shd w:val="clear" w:color="auto" w:fill="auto"/>
          </w:tcPr>
          <w:p w14:paraId="580BE60E" w14:textId="77777777" w:rsidR="00212C8C" w:rsidRPr="00BC1607" w:rsidRDefault="00212C8C" w:rsidP="00AA0A75">
            <w:pPr>
              <w:spacing w:line="240" w:lineRule="auto"/>
              <w:ind w:left="5"/>
              <w:jc w:val="both"/>
              <w:rPr>
                <w:rFonts w:ascii="Century Gothic" w:hAnsi="Century Gothic"/>
                <w:b/>
                <w:sz w:val="18"/>
                <w:szCs w:val="18"/>
              </w:rPr>
            </w:pPr>
            <w:r w:rsidRPr="00BC1607">
              <w:rPr>
                <w:rFonts w:ascii="Century Gothic" w:hAnsi="Century Gothic"/>
                <w:b/>
                <w:sz w:val="18"/>
                <w:szCs w:val="18"/>
              </w:rPr>
              <w:t>Key Professional Personnel Qualification for the Assignment</w:t>
            </w:r>
          </w:p>
          <w:p w14:paraId="5B858CC3" w14:textId="77777777" w:rsidR="00212C8C" w:rsidRPr="00BC1607" w:rsidRDefault="00212C8C" w:rsidP="00AA0A75">
            <w:pPr>
              <w:spacing w:line="240" w:lineRule="auto"/>
              <w:ind w:left="5"/>
              <w:jc w:val="both"/>
              <w:rPr>
                <w:rFonts w:ascii="Century Gothic" w:hAnsi="Century Gothic"/>
                <w:b/>
                <w:sz w:val="18"/>
                <w:szCs w:val="18"/>
              </w:rPr>
            </w:pPr>
            <w:r w:rsidRPr="00BC1607">
              <w:rPr>
                <w:rFonts w:ascii="Century Gothic" w:hAnsi="Century Gothic"/>
                <w:b/>
                <w:sz w:val="18"/>
                <w:szCs w:val="18"/>
              </w:rPr>
              <w:t>Note: Bidders to include CVS using TECH FORM-9 and supporting certifications of ALL KEY PERSONNEL. Bidders to respond in relation to the Key personnel requirement and evaluation criteria in this section</w:t>
            </w:r>
          </w:p>
        </w:tc>
        <w:tc>
          <w:tcPr>
            <w:tcW w:w="1030" w:type="dxa"/>
            <w:tcBorders>
              <w:top w:val="single" w:sz="6" w:space="0" w:color="000000"/>
              <w:left w:val="single" w:sz="6" w:space="0" w:color="000000"/>
              <w:bottom w:val="single" w:sz="6" w:space="0" w:color="000000"/>
              <w:right w:val="single" w:sz="6" w:space="0" w:color="000000"/>
            </w:tcBorders>
            <w:shd w:val="clear" w:color="auto" w:fill="auto"/>
          </w:tcPr>
          <w:p w14:paraId="2D760156" w14:textId="77777777" w:rsidR="00212C8C" w:rsidRPr="00BC1607" w:rsidRDefault="00212C8C" w:rsidP="00AA0A75">
            <w:pPr>
              <w:spacing w:line="240" w:lineRule="auto"/>
              <w:ind w:left="5"/>
              <w:jc w:val="both"/>
              <w:rPr>
                <w:rFonts w:ascii="Century Gothic" w:hAnsi="Century Gothic"/>
                <w:sz w:val="18"/>
                <w:szCs w:val="18"/>
              </w:rPr>
            </w:pPr>
          </w:p>
        </w:tc>
      </w:tr>
      <w:tr w:rsidR="00212C8C" w:rsidRPr="00BC1607" w14:paraId="628CC7CB" w14:textId="77777777" w:rsidTr="00BC1607">
        <w:trPr>
          <w:trHeight w:val="20"/>
        </w:trPr>
        <w:tc>
          <w:tcPr>
            <w:tcW w:w="426" w:type="dxa"/>
            <w:tcBorders>
              <w:top w:val="single" w:sz="6" w:space="0" w:color="000000"/>
              <w:left w:val="single" w:sz="6" w:space="0" w:color="000000"/>
              <w:bottom w:val="single" w:sz="6" w:space="0" w:color="000000"/>
              <w:right w:val="single" w:sz="6" w:space="0" w:color="000000"/>
            </w:tcBorders>
            <w:shd w:val="clear" w:color="auto" w:fill="auto"/>
          </w:tcPr>
          <w:p w14:paraId="54F26844" w14:textId="77777777" w:rsidR="00212C8C" w:rsidRPr="00BC1607" w:rsidRDefault="00212C8C" w:rsidP="00AA0A75">
            <w:pPr>
              <w:spacing w:line="240" w:lineRule="auto"/>
              <w:ind w:left="5"/>
              <w:jc w:val="both"/>
              <w:rPr>
                <w:rFonts w:ascii="Century Gothic" w:hAnsi="Century Gothic"/>
                <w:sz w:val="18"/>
                <w:szCs w:val="18"/>
              </w:rPr>
            </w:pPr>
            <w:r w:rsidRPr="00BC1607">
              <w:rPr>
                <w:rFonts w:ascii="Century Gothic" w:hAnsi="Century Gothic"/>
                <w:sz w:val="18"/>
                <w:szCs w:val="18"/>
              </w:rPr>
              <w:t>4.1</w:t>
            </w:r>
          </w:p>
        </w:tc>
        <w:tc>
          <w:tcPr>
            <w:tcW w:w="7616" w:type="dxa"/>
            <w:tcBorders>
              <w:top w:val="single" w:sz="6" w:space="0" w:color="000000"/>
              <w:left w:val="single" w:sz="6" w:space="0" w:color="000000"/>
              <w:bottom w:val="single" w:sz="6" w:space="0" w:color="000000"/>
              <w:right w:val="single" w:sz="6" w:space="0" w:color="000000"/>
            </w:tcBorders>
            <w:shd w:val="clear" w:color="auto" w:fill="auto"/>
          </w:tcPr>
          <w:p w14:paraId="7296D77C" w14:textId="77777777" w:rsidR="00212C8C" w:rsidRPr="00BC1607" w:rsidRDefault="00212C8C" w:rsidP="00AA0A75">
            <w:pPr>
              <w:spacing w:line="240" w:lineRule="auto"/>
              <w:jc w:val="both"/>
              <w:rPr>
                <w:rFonts w:ascii="Century Gothic" w:hAnsi="Century Gothic"/>
                <w:sz w:val="18"/>
                <w:szCs w:val="18"/>
              </w:rPr>
            </w:pPr>
            <w:r w:rsidRPr="00BC1607">
              <w:rPr>
                <w:rFonts w:ascii="Century Gothic" w:hAnsi="Century Gothic"/>
                <w:sz w:val="18"/>
                <w:szCs w:val="18"/>
              </w:rPr>
              <w:t>Relevant academic qualifications</w:t>
            </w:r>
          </w:p>
        </w:tc>
        <w:tc>
          <w:tcPr>
            <w:tcW w:w="1030" w:type="dxa"/>
            <w:tcBorders>
              <w:top w:val="single" w:sz="6" w:space="0" w:color="000000"/>
              <w:left w:val="single" w:sz="6" w:space="0" w:color="000000"/>
              <w:bottom w:val="single" w:sz="6" w:space="0" w:color="000000"/>
              <w:right w:val="single" w:sz="6" w:space="0" w:color="000000"/>
            </w:tcBorders>
            <w:shd w:val="clear" w:color="auto" w:fill="auto"/>
          </w:tcPr>
          <w:p w14:paraId="1FD5A7A2" w14:textId="77777777" w:rsidR="00212C8C" w:rsidRPr="00BC1607" w:rsidRDefault="00212C8C" w:rsidP="00AA0A75">
            <w:pPr>
              <w:spacing w:line="240" w:lineRule="auto"/>
              <w:ind w:left="5"/>
              <w:jc w:val="both"/>
              <w:rPr>
                <w:rFonts w:ascii="Century Gothic" w:hAnsi="Century Gothic"/>
                <w:sz w:val="18"/>
                <w:szCs w:val="18"/>
              </w:rPr>
            </w:pPr>
            <w:r w:rsidRPr="00BC1607">
              <w:rPr>
                <w:rFonts w:ascii="Century Gothic" w:hAnsi="Century Gothic"/>
                <w:sz w:val="18"/>
                <w:szCs w:val="18"/>
              </w:rPr>
              <w:t>5</w:t>
            </w:r>
          </w:p>
        </w:tc>
      </w:tr>
      <w:tr w:rsidR="00212C8C" w:rsidRPr="00BC1607" w14:paraId="492F1204" w14:textId="77777777" w:rsidTr="00BC1607">
        <w:trPr>
          <w:trHeight w:val="20"/>
        </w:trPr>
        <w:tc>
          <w:tcPr>
            <w:tcW w:w="426" w:type="dxa"/>
            <w:tcBorders>
              <w:top w:val="single" w:sz="6" w:space="0" w:color="000000"/>
              <w:left w:val="single" w:sz="6" w:space="0" w:color="000000"/>
              <w:bottom w:val="single" w:sz="6" w:space="0" w:color="000000"/>
              <w:right w:val="single" w:sz="6" w:space="0" w:color="000000"/>
            </w:tcBorders>
            <w:shd w:val="clear" w:color="auto" w:fill="auto"/>
          </w:tcPr>
          <w:p w14:paraId="4DD99DB2" w14:textId="77777777" w:rsidR="00212C8C" w:rsidRPr="00BC1607" w:rsidRDefault="00212C8C" w:rsidP="00AA0A75">
            <w:pPr>
              <w:spacing w:line="240" w:lineRule="auto"/>
              <w:ind w:left="5"/>
              <w:jc w:val="both"/>
              <w:rPr>
                <w:rFonts w:ascii="Century Gothic" w:hAnsi="Century Gothic"/>
                <w:sz w:val="18"/>
                <w:szCs w:val="18"/>
              </w:rPr>
            </w:pPr>
            <w:r w:rsidRPr="00BC1607">
              <w:rPr>
                <w:rFonts w:ascii="Century Gothic" w:hAnsi="Century Gothic"/>
                <w:sz w:val="18"/>
                <w:szCs w:val="18"/>
              </w:rPr>
              <w:t>4.2</w:t>
            </w:r>
          </w:p>
        </w:tc>
        <w:tc>
          <w:tcPr>
            <w:tcW w:w="7616" w:type="dxa"/>
            <w:tcBorders>
              <w:top w:val="single" w:sz="6" w:space="0" w:color="000000"/>
              <w:left w:val="single" w:sz="6" w:space="0" w:color="000000"/>
              <w:bottom w:val="single" w:sz="6" w:space="0" w:color="000000"/>
              <w:right w:val="single" w:sz="6" w:space="0" w:color="000000"/>
            </w:tcBorders>
            <w:shd w:val="clear" w:color="auto" w:fill="auto"/>
          </w:tcPr>
          <w:p w14:paraId="3083A589" w14:textId="77777777" w:rsidR="00212C8C" w:rsidRPr="00BC1607" w:rsidRDefault="00212C8C" w:rsidP="00AA0A75">
            <w:pPr>
              <w:spacing w:line="240" w:lineRule="auto"/>
              <w:jc w:val="both"/>
              <w:rPr>
                <w:rFonts w:ascii="Century Gothic" w:hAnsi="Century Gothic"/>
                <w:sz w:val="18"/>
                <w:szCs w:val="18"/>
              </w:rPr>
            </w:pPr>
            <w:r w:rsidRPr="00BC1607">
              <w:rPr>
                <w:rFonts w:ascii="Century Gothic" w:hAnsi="Century Gothic"/>
                <w:sz w:val="18"/>
                <w:szCs w:val="18"/>
              </w:rPr>
              <w:t>Expertise and skills of the consultant in data analysis, and applied research for policy and business development</w:t>
            </w:r>
          </w:p>
        </w:tc>
        <w:tc>
          <w:tcPr>
            <w:tcW w:w="1030" w:type="dxa"/>
            <w:tcBorders>
              <w:top w:val="single" w:sz="6" w:space="0" w:color="000000"/>
              <w:left w:val="single" w:sz="6" w:space="0" w:color="000000"/>
              <w:bottom w:val="single" w:sz="6" w:space="0" w:color="000000"/>
              <w:right w:val="single" w:sz="6" w:space="0" w:color="000000"/>
            </w:tcBorders>
            <w:shd w:val="clear" w:color="auto" w:fill="auto"/>
          </w:tcPr>
          <w:p w14:paraId="45723383" w14:textId="77777777" w:rsidR="00212C8C" w:rsidRPr="00BC1607" w:rsidRDefault="00212C8C" w:rsidP="00AA0A75">
            <w:pPr>
              <w:spacing w:line="240" w:lineRule="auto"/>
              <w:ind w:left="5"/>
              <w:jc w:val="both"/>
              <w:rPr>
                <w:rFonts w:ascii="Century Gothic" w:hAnsi="Century Gothic"/>
                <w:sz w:val="18"/>
                <w:szCs w:val="18"/>
              </w:rPr>
            </w:pPr>
            <w:r w:rsidRPr="00BC1607">
              <w:rPr>
                <w:rFonts w:ascii="Century Gothic" w:hAnsi="Century Gothic"/>
                <w:sz w:val="18"/>
                <w:szCs w:val="18"/>
              </w:rPr>
              <w:t>15</w:t>
            </w:r>
          </w:p>
        </w:tc>
      </w:tr>
      <w:tr w:rsidR="00212C8C" w:rsidRPr="00BC1607" w14:paraId="011E8942" w14:textId="77777777" w:rsidTr="00BC1607">
        <w:trPr>
          <w:trHeight w:val="20"/>
        </w:trPr>
        <w:tc>
          <w:tcPr>
            <w:tcW w:w="426" w:type="dxa"/>
            <w:tcBorders>
              <w:top w:val="single" w:sz="6" w:space="0" w:color="000000"/>
              <w:left w:val="single" w:sz="6" w:space="0" w:color="000000"/>
              <w:bottom w:val="single" w:sz="6" w:space="0" w:color="000000"/>
              <w:right w:val="single" w:sz="6" w:space="0" w:color="000000"/>
            </w:tcBorders>
            <w:shd w:val="clear" w:color="auto" w:fill="auto"/>
          </w:tcPr>
          <w:p w14:paraId="2DD2ECBC" w14:textId="77777777" w:rsidR="00212C8C" w:rsidRPr="00BC1607" w:rsidRDefault="00212C8C" w:rsidP="00AA0A75">
            <w:pPr>
              <w:spacing w:line="240" w:lineRule="auto"/>
              <w:ind w:left="5"/>
              <w:jc w:val="both"/>
              <w:rPr>
                <w:rFonts w:ascii="Century Gothic" w:hAnsi="Century Gothic"/>
                <w:sz w:val="18"/>
                <w:szCs w:val="18"/>
              </w:rPr>
            </w:pPr>
            <w:r w:rsidRPr="00BC1607">
              <w:rPr>
                <w:rFonts w:ascii="Century Gothic" w:hAnsi="Century Gothic"/>
                <w:sz w:val="18"/>
                <w:szCs w:val="18"/>
              </w:rPr>
              <w:t>4.3</w:t>
            </w:r>
          </w:p>
        </w:tc>
        <w:tc>
          <w:tcPr>
            <w:tcW w:w="7616" w:type="dxa"/>
            <w:tcBorders>
              <w:top w:val="single" w:sz="6" w:space="0" w:color="000000"/>
              <w:left w:val="single" w:sz="6" w:space="0" w:color="000000"/>
              <w:bottom w:val="single" w:sz="6" w:space="0" w:color="000000"/>
              <w:right w:val="single" w:sz="6" w:space="0" w:color="000000"/>
            </w:tcBorders>
            <w:shd w:val="clear" w:color="auto" w:fill="auto"/>
          </w:tcPr>
          <w:p w14:paraId="0FD0B481" w14:textId="77777777" w:rsidR="00212C8C" w:rsidRPr="00BC1607" w:rsidRDefault="00212C8C" w:rsidP="00AA0A75">
            <w:pPr>
              <w:spacing w:line="240" w:lineRule="auto"/>
              <w:jc w:val="both"/>
              <w:rPr>
                <w:rFonts w:ascii="Century Gothic" w:hAnsi="Century Gothic"/>
                <w:sz w:val="18"/>
                <w:szCs w:val="18"/>
              </w:rPr>
            </w:pPr>
            <w:r w:rsidRPr="00BC1607">
              <w:rPr>
                <w:rFonts w:ascii="Century Gothic" w:hAnsi="Century Gothic"/>
                <w:sz w:val="18"/>
                <w:szCs w:val="18"/>
              </w:rPr>
              <w:t>Expertise and skills of the consultant to communicate and disseminate research findings</w:t>
            </w:r>
          </w:p>
        </w:tc>
        <w:tc>
          <w:tcPr>
            <w:tcW w:w="1030" w:type="dxa"/>
            <w:tcBorders>
              <w:top w:val="single" w:sz="6" w:space="0" w:color="000000"/>
              <w:left w:val="single" w:sz="6" w:space="0" w:color="000000"/>
              <w:bottom w:val="single" w:sz="6" w:space="0" w:color="000000"/>
              <w:right w:val="single" w:sz="6" w:space="0" w:color="000000"/>
            </w:tcBorders>
            <w:shd w:val="clear" w:color="auto" w:fill="auto"/>
          </w:tcPr>
          <w:p w14:paraId="54A961EC" w14:textId="77777777" w:rsidR="00212C8C" w:rsidRPr="00BC1607" w:rsidRDefault="00212C8C" w:rsidP="00AA0A75">
            <w:pPr>
              <w:spacing w:line="240" w:lineRule="auto"/>
              <w:ind w:left="5"/>
              <w:jc w:val="both"/>
              <w:rPr>
                <w:rFonts w:ascii="Century Gothic" w:hAnsi="Century Gothic"/>
                <w:sz w:val="18"/>
                <w:szCs w:val="18"/>
              </w:rPr>
            </w:pPr>
            <w:r w:rsidRPr="00BC1607">
              <w:rPr>
                <w:rFonts w:ascii="Century Gothic" w:hAnsi="Century Gothic"/>
                <w:sz w:val="18"/>
                <w:szCs w:val="18"/>
              </w:rPr>
              <w:t>15</w:t>
            </w:r>
          </w:p>
        </w:tc>
      </w:tr>
      <w:tr w:rsidR="00212C8C" w:rsidRPr="00BC1607" w14:paraId="161A0DBE" w14:textId="77777777" w:rsidTr="00BC1607">
        <w:trPr>
          <w:trHeight w:val="20"/>
        </w:trPr>
        <w:tc>
          <w:tcPr>
            <w:tcW w:w="426" w:type="dxa"/>
            <w:tcBorders>
              <w:top w:val="single" w:sz="6" w:space="0" w:color="000000"/>
              <w:left w:val="single" w:sz="6" w:space="0" w:color="000000"/>
              <w:bottom w:val="single" w:sz="6" w:space="0" w:color="000000"/>
              <w:right w:val="single" w:sz="6" w:space="0" w:color="000000"/>
            </w:tcBorders>
            <w:shd w:val="clear" w:color="auto" w:fill="auto"/>
          </w:tcPr>
          <w:p w14:paraId="0B845962" w14:textId="77777777" w:rsidR="00212C8C" w:rsidRPr="00BC1607" w:rsidRDefault="00212C8C" w:rsidP="00AA0A75">
            <w:pPr>
              <w:spacing w:line="240" w:lineRule="auto"/>
              <w:ind w:left="5"/>
              <w:jc w:val="both"/>
              <w:rPr>
                <w:rFonts w:ascii="Century Gothic" w:hAnsi="Century Gothic"/>
                <w:b/>
                <w:sz w:val="18"/>
                <w:szCs w:val="18"/>
              </w:rPr>
            </w:pPr>
          </w:p>
        </w:tc>
        <w:tc>
          <w:tcPr>
            <w:tcW w:w="7616" w:type="dxa"/>
            <w:tcBorders>
              <w:top w:val="single" w:sz="6" w:space="0" w:color="000000"/>
              <w:left w:val="single" w:sz="6" w:space="0" w:color="000000"/>
              <w:bottom w:val="single" w:sz="6" w:space="0" w:color="000000"/>
              <w:right w:val="single" w:sz="6" w:space="0" w:color="000000"/>
            </w:tcBorders>
            <w:shd w:val="clear" w:color="auto" w:fill="auto"/>
          </w:tcPr>
          <w:p w14:paraId="6F65C51D" w14:textId="77777777" w:rsidR="00212C8C" w:rsidRPr="00BC1607" w:rsidRDefault="00212C8C" w:rsidP="00AA0A75">
            <w:pPr>
              <w:spacing w:line="240" w:lineRule="auto"/>
              <w:jc w:val="both"/>
              <w:rPr>
                <w:rFonts w:ascii="Century Gothic" w:hAnsi="Century Gothic"/>
                <w:b/>
                <w:sz w:val="18"/>
                <w:szCs w:val="18"/>
              </w:rPr>
            </w:pPr>
            <w:r w:rsidRPr="00BC1607">
              <w:rPr>
                <w:rFonts w:ascii="Century Gothic" w:hAnsi="Century Gothic"/>
                <w:b/>
                <w:sz w:val="18"/>
                <w:szCs w:val="18"/>
              </w:rPr>
              <w:t>Total Points for this criterion</w:t>
            </w:r>
          </w:p>
        </w:tc>
        <w:tc>
          <w:tcPr>
            <w:tcW w:w="1030" w:type="dxa"/>
            <w:tcBorders>
              <w:top w:val="single" w:sz="6" w:space="0" w:color="000000"/>
              <w:left w:val="single" w:sz="6" w:space="0" w:color="000000"/>
              <w:bottom w:val="single" w:sz="6" w:space="0" w:color="000000"/>
              <w:right w:val="single" w:sz="6" w:space="0" w:color="000000"/>
            </w:tcBorders>
            <w:shd w:val="clear" w:color="auto" w:fill="auto"/>
          </w:tcPr>
          <w:p w14:paraId="2E47DDF0" w14:textId="77777777" w:rsidR="00212C8C" w:rsidRPr="00BC1607" w:rsidRDefault="00212C8C" w:rsidP="00AA0A75">
            <w:pPr>
              <w:spacing w:line="240" w:lineRule="auto"/>
              <w:jc w:val="both"/>
              <w:rPr>
                <w:rFonts w:ascii="Century Gothic" w:hAnsi="Century Gothic"/>
                <w:b/>
                <w:sz w:val="18"/>
                <w:szCs w:val="18"/>
              </w:rPr>
            </w:pPr>
            <w:r w:rsidRPr="00BC1607">
              <w:rPr>
                <w:rFonts w:ascii="Century Gothic" w:hAnsi="Century Gothic"/>
                <w:b/>
                <w:sz w:val="18"/>
                <w:szCs w:val="18"/>
              </w:rPr>
              <w:t>35</w:t>
            </w:r>
          </w:p>
        </w:tc>
      </w:tr>
      <w:tr w:rsidR="00212C8C" w:rsidRPr="00BC1607" w14:paraId="5972725C" w14:textId="77777777" w:rsidTr="00BC1607">
        <w:trPr>
          <w:trHeight w:val="20"/>
        </w:trPr>
        <w:tc>
          <w:tcPr>
            <w:tcW w:w="426" w:type="dxa"/>
            <w:tcBorders>
              <w:top w:val="single" w:sz="6" w:space="0" w:color="000000"/>
              <w:left w:val="single" w:sz="6" w:space="0" w:color="000000"/>
              <w:bottom w:val="single" w:sz="6" w:space="0" w:color="000000"/>
              <w:right w:val="single" w:sz="6" w:space="0" w:color="000000"/>
            </w:tcBorders>
            <w:shd w:val="clear" w:color="auto" w:fill="000080"/>
          </w:tcPr>
          <w:p w14:paraId="008DE56E" w14:textId="77777777" w:rsidR="00212C8C" w:rsidRPr="00BC1607" w:rsidRDefault="00212C8C" w:rsidP="00AA0A75">
            <w:pPr>
              <w:spacing w:line="240" w:lineRule="auto"/>
              <w:ind w:left="5"/>
              <w:jc w:val="both"/>
              <w:rPr>
                <w:rFonts w:ascii="Century Gothic" w:hAnsi="Century Gothic"/>
                <w:sz w:val="18"/>
                <w:szCs w:val="18"/>
              </w:rPr>
            </w:pPr>
          </w:p>
        </w:tc>
        <w:tc>
          <w:tcPr>
            <w:tcW w:w="7616" w:type="dxa"/>
            <w:tcBorders>
              <w:top w:val="single" w:sz="6" w:space="0" w:color="000000"/>
              <w:left w:val="single" w:sz="6" w:space="0" w:color="000000"/>
              <w:bottom w:val="single" w:sz="6" w:space="0" w:color="000000"/>
              <w:right w:val="single" w:sz="6" w:space="0" w:color="000000"/>
            </w:tcBorders>
            <w:shd w:val="clear" w:color="auto" w:fill="000080"/>
          </w:tcPr>
          <w:p w14:paraId="5EA7514D" w14:textId="77777777" w:rsidR="00212C8C" w:rsidRPr="00BC1607" w:rsidRDefault="00212C8C" w:rsidP="00AA0A75">
            <w:pPr>
              <w:spacing w:line="240" w:lineRule="auto"/>
              <w:jc w:val="both"/>
              <w:rPr>
                <w:rFonts w:ascii="Century Gothic" w:hAnsi="Century Gothic"/>
                <w:sz w:val="18"/>
                <w:szCs w:val="18"/>
              </w:rPr>
            </w:pPr>
            <w:r w:rsidRPr="00BC1607">
              <w:rPr>
                <w:rFonts w:ascii="Century Gothic" w:hAnsi="Century Gothic"/>
                <w:b/>
                <w:sz w:val="18"/>
                <w:szCs w:val="18"/>
              </w:rPr>
              <w:t>Total Points for the four (4) technical criteria (St)</w:t>
            </w:r>
          </w:p>
        </w:tc>
        <w:tc>
          <w:tcPr>
            <w:tcW w:w="1030" w:type="dxa"/>
            <w:tcBorders>
              <w:top w:val="single" w:sz="6" w:space="0" w:color="000000"/>
              <w:left w:val="single" w:sz="6" w:space="0" w:color="000000"/>
              <w:bottom w:val="single" w:sz="6" w:space="0" w:color="000000"/>
              <w:right w:val="single" w:sz="6" w:space="0" w:color="000000"/>
            </w:tcBorders>
            <w:shd w:val="clear" w:color="auto" w:fill="000080"/>
          </w:tcPr>
          <w:p w14:paraId="53E6D47C" w14:textId="77777777" w:rsidR="00212C8C" w:rsidRPr="00BC1607" w:rsidRDefault="00212C8C" w:rsidP="00AA0A75">
            <w:pPr>
              <w:spacing w:line="240" w:lineRule="auto"/>
              <w:ind w:left="5"/>
              <w:jc w:val="both"/>
              <w:rPr>
                <w:rFonts w:ascii="Century Gothic" w:hAnsi="Century Gothic"/>
                <w:b/>
                <w:sz w:val="18"/>
                <w:szCs w:val="18"/>
              </w:rPr>
            </w:pPr>
            <w:r w:rsidRPr="00BC1607">
              <w:rPr>
                <w:rFonts w:ascii="Century Gothic" w:hAnsi="Century Gothic"/>
                <w:b/>
                <w:sz w:val="18"/>
                <w:szCs w:val="18"/>
              </w:rPr>
              <w:t>100</w:t>
            </w:r>
          </w:p>
        </w:tc>
      </w:tr>
      <w:tr w:rsidR="00212C8C" w:rsidRPr="00BC1607" w14:paraId="1A778B71" w14:textId="77777777" w:rsidTr="00BC1607">
        <w:trPr>
          <w:trHeight w:val="20"/>
        </w:trPr>
        <w:tc>
          <w:tcPr>
            <w:tcW w:w="426" w:type="dxa"/>
            <w:tcBorders>
              <w:top w:val="single" w:sz="6" w:space="0" w:color="000000"/>
              <w:left w:val="single" w:sz="6" w:space="0" w:color="000000"/>
              <w:bottom w:val="single" w:sz="6" w:space="0" w:color="000000"/>
              <w:right w:val="single" w:sz="6" w:space="0" w:color="000000"/>
            </w:tcBorders>
            <w:shd w:val="clear" w:color="auto" w:fill="000080"/>
          </w:tcPr>
          <w:p w14:paraId="169A210B" w14:textId="77777777" w:rsidR="00212C8C" w:rsidRPr="00BC1607" w:rsidRDefault="00212C8C" w:rsidP="00AA0A75">
            <w:pPr>
              <w:spacing w:line="240" w:lineRule="auto"/>
              <w:ind w:left="5"/>
              <w:jc w:val="both"/>
              <w:rPr>
                <w:rFonts w:ascii="Century Gothic" w:hAnsi="Century Gothic"/>
                <w:sz w:val="18"/>
                <w:szCs w:val="18"/>
              </w:rPr>
            </w:pPr>
          </w:p>
        </w:tc>
        <w:tc>
          <w:tcPr>
            <w:tcW w:w="7616" w:type="dxa"/>
            <w:tcBorders>
              <w:top w:val="single" w:sz="6" w:space="0" w:color="000000"/>
              <w:left w:val="single" w:sz="6" w:space="0" w:color="000000"/>
              <w:bottom w:val="single" w:sz="6" w:space="0" w:color="000000"/>
              <w:right w:val="single" w:sz="6" w:space="0" w:color="000000"/>
            </w:tcBorders>
            <w:shd w:val="clear" w:color="auto" w:fill="000080"/>
          </w:tcPr>
          <w:p w14:paraId="31F272DF" w14:textId="77777777" w:rsidR="00212C8C" w:rsidRPr="00BC1607" w:rsidRDefault="00212C8C" w:rsidP="00AA0A75">
            <w:pPr>
              <w:spacing w:line="240" w:lineRule="auto"/>
              <w:jc w:val="both"/>
              <w:rPr>
                <w:rFonts w:ascii="Century Gothic" w:hAnsi="Century Gothic"/>
                <w:sz w:val="18"/>
                <w:szCs w:val="18"/>
              </w:rPr>
            </w:pPr>
            <w:r w:rsidRPr="00BC1607">
              <w:rPr>
                <w:rFonts w:ascii="Century Gothic" w:hAnsi="Century Gothic"/>
                <w:b/>
                <w:sz w:val="18"/>
                <w:szCs w:val="18"/>
              </w:rPr>
              <w:t>The minimum technical score St required to pass for financial proposal to be scored is</w:t>
            </w:r>
          </w:p>
        </w:tc>
        <w:tc>
          <w:tcPr>
            <w:tcW w:w="1030" w:type="dxa"/>
            <w:tcBorders>
              <w:top w:val="single" w:sz="6" w:space="0" w:color="000000"/>
              <w:left w:val="single" w:sz="6" w:space="0" w:color="000000"/>
              <w:bottom w:val="single" w:sz="6" w:space="0" w:color="000000"/>
              <w:right w:val="single" w:sz="6" w:space="0" w:color="000000"/>
            </w:tcBorders>
            <w:shd w:val="clear" w:color="auto" w:fill="000080"/>
          </w:tcPr>
          <w:p w14:paraId="3D2DA09D" w14:textId="77777777" w:rsidR="00212C8C" w:rsidRPr="00BC1607" w:rsidRDefault="00212C8C" w:rsidP="00AA0A75">
            <w:pPr>
              <w:spacing w:line="240" w:lineRule="auto"/>
              <w:jc w:val="both"/>
              <w:rPr>
                <w:rFonts w:ascii="Century Gothic" w:hAnsi="Century Gothic"/>
                <w:b/>
                <w:sz w:val="18"/>
                <w:szCs w:val="18"/>
              </w:rPr>
            </w:pPr>
            <w:r w:rsidRPr="00BC1607">
              <w:rPr>
                <w:rFonts w:ascii="Century Gothic" w:hAnsi="Century Gothic"/>
                <w:b/>
                <w:sz w:val="18"/>
                <w:szCs w:val="18"/>
              </w:rPr>
              <w:t>75</w:t>
            </w:r>
          </w:p>
        </w:tc>
      </w:tr>
      <w:tr w:rsidR="00212C8C" w:rsidRPr="00BC1607" w14:paraId="6BC5E90E" w14:textId="77777777" w:rsidTr="00BC1607">
        <w:trPr>
          <w:trHeight w:val="20"/>
        </w:trPr>
        <w:tc>
          <w:tcPr>
            <w:tcW w:w="426" w:type="dxa"/>
            <w:tcBorders>
              <w:top w:val="single" w:sz="6" w:space="0" w:color="000000"/>
              <w:left w:val="single" w:sz="6" w:space="0" w:color="000000"/>
              <w:bottom w:val="single" w:sz="6" w:space="0" w:color="000000"/>
              <w:right w:val="single" w:sz="6" w:space="0" w:color="000000"/>
            </w:tcBorders>
            <w:shd w:val="clear" w:color="auto" w:fill="auto"/>
          </w:tcPr>
          <w:p w14:paraId="772D30CF" w14:textId="77777777" w:rsidR="00212C8C" w:rsidRPr="00BC1607" w:rsidRDefault="00212C8C" w:rsidP="00AA0A75">
            <w:pPr>
              <w:spacing w:line="240" w:lineRule="auto"/>
              <w:ind w:left="5"/>
              <w:jc w:val="both"/>
              <w:rPr>
                <w:rFonts w:ascii="Century Gothic" w:hAnsi="Century Gothic"/>
                <w:sz w:val="18"/>
                <w:szCs w:val="18"/>
              </w:rPr>
            </w:pPr>
          </w:p>
        </w:tc>
        <w:tc>
          <w:tcPr>
            <w:tcW w:w="7616" w:type="dxa"/>
            <w:tcBorders>
              <w:top w:val="single" w:sz="6" w:space="0" w:color="000000"/>
              <w:left w:val="single" w:sz="6" w:space="0" w:color="000000"/>
              <w:bottom w:val="single" w:sz="6" w:space="0" w:color="000000"/>
              <w:right w:val="single" w:sz="6" w:space="0" w:color="000000"/>
            </w:tcBorders>
            <w:shd w:val="clear" w:color="auto" w:fill="auto"/>
          </w:tcPr>
          <w:p w14:paraId="1BB66F56" w14:textId="77777777" w:rsidR="00212C8C" w:rsidRPr="00BC1607" w:rsidRDefault="00212C8C" w:rsidP="00AA0A75">
            <w:pPr>
              <w:spacing w:line="240" w:lineRule="auto"/>
              <w:ind w:left="67" w:right="-4"/>
              <w:jc w:val="both"/>
              <w:rPr>
                <w:rFonts w:ascii="Century Gothic" w:hAnsi="Century Gothic"/>
                <w:b/>
                <w:bCs/>
                <w:sz w:val="18"/>
                <w:szCs w:val="18"/>
                <w:u w:val="single"/>
              </w:rPr>
            </w:pPr>
            <w:r w:rsidRPr="00BC1607">
              <w:rPr>
                <w:rFonts w:ascii="Century Gothic" w:hAnsi="Century Gothic"/>
                <w:b/>
                <w:bCs/>
                <w:sz w:val="18"/>
                <w:szCs w:val="18"/>
                <w:u w:val="single"/>
              </w:rPr>
              <w:t>Financial Evaluation</w:t>
            </w:r>
          </w:p>
          <w:p w14:paraId="40D9ECB7" w14:textId="77777777" w:rsidR="00212C8C" w:rsidRPr="00BC1607" w:rsidRDefault="00212C8C" w:rsidP="00AA0A75">
            <w:pPr>
              <w:spacing w:line="240" w:lineRule="auto"/>
              <w:ind w:left="67"/>
              <w:jc w:val="both"/>
              <w:rPr>
                <w:rFonts w:ascii="Century Gothic" w:hAnsi="Century Gothic"/>
                <w:sz w:val="18"/>
                <w:szCs w:val="18"/>
              </w:rPr>
            </w:pPr>
            <w:r w:rsidRPr="00BC1607">
              <w:rPr>
                <w:rFonts w:ascii="Century Gothic" w:hAnsi="Century Gothic"/>
                <w:sz w:val="18"/>
                <w:szCs w:val="18"/>
              </w:rPr>
              <w:t>The formula for determining the financial scores is the following:</w:t>
            </w:r>
          </w:p>
          <w:p w14:paraId="035B0459" w14:textId="77777777" w:rsidR="00212C8C" w:rsidRPr="00BC1607" w:rsidRDefault="00212C8C" w:rsidP="00AA0A75">
            <w:pPr>
              <w:spacing w:line="240" w:lineRule="auto"/>
              <w:ind w:left="67"/>
              <w:jc w:val="both"/>
              <w:rPr>
                <w:rFonts w:ascii="Century Gothic" w:hAnsi="Century Gothic"/>
                <w:sz w:val="18"/>
                <w:szCs w:val="18"/>
              </w:rPr>
            </w:pPr>
          </w:p>
          <w:p w14:paraId="55C271F8" w14:textId="77777777" w:rsidR="00212C8C" w:rsidRPr="00BC1607" w:rsidRDefault="00212C8C" w:rsidP="00AA0A75">
            <w:pPr>
              <w:spacing w:line="240" w:lineRule="auto"/>
              <w:ind w:left="67"/>
              <w:jc w:val="both"/>
              <w:rPr>
                <w:rFonts w:ascii="Century Gothic" w:hAnsi="Century Gothic"/>
                <w:sz w:val="18"/>
                <w:szCs w:val="18"/>
              </w:rPr>
            </w:pPr>
            <w:r w:rsidRPr="00BC1607">
              <w:rPr>
                <w:rFonts w:ascii="Century Gothic" w:hAnsi="Century Gothic"/>
                <w:sz w:val="18"/>
                <w:szCs w:val="18"/>
              </w:rPr>
              <w:t>FS = 100 x FL / FP, in which FS is the financial score, Fm is the lowest price and FP the price of the Proposal under consideration.</w:t>
            </w:r>
          </w:p>
          <w:p w14:paraId="1F9B144F" w14:textId="77777777" w:rsidR="00212C8C" w:rsidRPr="00BC1607" w:rsidRDefault="00212C8C" w:rsidP="00AA0A75">
            <w:pPr>
              <w:spacing w:line="240" w:lineRule="auto"/>
              <w:ind w:left="67"/>
              <w:jc w:val="both"/>
              <w:rPr>
                <w:rFonts w:ascii="Century Gothic" w:hAnsi="Century Gothic"/>
                <w:sz w:val="18"/>
                <w:szCs w:val="18"/>
              </w:rPr>
            </w:pPr>
          </w:p>
          <w:p w14:paraId="1B66CCAE" w14:textId="77777777" w:rsidR="00212C8C" w:rsidRPr="00BC1607" w:rsidRDefault="00212C8C" w:rsidP="00AA0A75">
            <w:pPr>
              <w:spacing w:line="240" w:lineRule="auto"/>
              <w:ind w:left="67"/>
              <w:jc w:val="both"/>
              <w:rPr>
                <w:rFonts w:ascii="Century Gothic" w:hAnsi="Century Gothic"/>
                <w:sz w:val="18"/>
                <w:szCs w:val="18"/>
              </w:rPr>
            </w:pPr>
            <w:r w:rsidRPr="00BC1607">
              <w:rPr>
                <w:rFonts w:ascii="Century Gothic" w:hAnsi="Century Gothic"/>
                <w:sz w:val="18"/>
                <w:szCs w:val="18"/>
              </w:rPr>
              <w:t>The weights given to the Technical (T) and Financial (F) Proposals are:</w:t>
            </w:r>
          </w:p>
          <w:p w14:paraId="51C6E89B" w14:textId="77777777" w:rsidR="00212C8C" w:rsidRPr="00BC1607" w:rsidRDefault="00212C8C" w:rsidP="00AA0A75">
            <w:pPr>
              <w:spacing w:line="240" w:lineRule="auto"/>
              <w:ind w:left="67"/>
              <w:jc w:val="both"/>
              <w:rPr>
                <w:rFonts w:ascii="Century Gothic" w:hAnsi="Century Gothic"/>
                <w:sz w:val="18"/>
                <w:szCs w:val="18"/>
              </w:rPr>
            </w:pPr>
          </w:p>
          <w:p w14:paraId="56D66164" w14:textId="77777777" w:rsidR="00212C8C" w:rsidRPr="00BC1607" w:rsidRDefault="00212C8C" w:rsidP="00AA0A75">
            <w:pPr>
              <w:spacing w:line="240" w:lineRule="auto"/>
              <w:ind w:left="365"/>
              <w:jc w:val="both"/>
              <w:rPr>
                <w:rFonts w:ascii="Century Gothic" w:hAnsi="Century Gothic"/>
                <w:b/>
                <w:bCs/>
                <w:sz w:val="18"/>
                <w:szCs w:val="18"/>
              </w:rPr>
            </w:pPr>
            <w:r w:rsidRPr="00BC1607">
              <w:rPr>
                <w:rFonts w:ascii="Century Gothic" w:hAnsi="Century Gothic"/>
                <w:b/>
                <w:bCs/>
                <w:sz w:val="18"/>
                <w:szCs w:val="18"/>
              </w:rPr>
              <w:t>T = 80% and F = 20%</w:t>
            </w:r>
          </w:p>
        </w:tc>
        <w:tc>
          <w:tcPr>
            <w:tcW w:w="1030" w:type="dxa"/>
            <w:tcBorders>
              <w:top w:val="single" w:sz="6" w:space="0" w:color="000000"/>
              <w:left w:val="single" w:sz="6" w:space="0" w:color="000000"/>
              <w:bottom w:val="single" w:sz="6" w:space="0" w:color="000000"/>
              <w:right w:val="single" w:sz="6" w:space="0" w:color="000000"/>
            </w:tcBorders>
            <w:shd w:val="clear" w:color="auto" w:fill="auto"/>
          </w:tcPr>
          <w:p w14:paraId="7963266C" w14:textId="77777777" w:rsidR="00212C8C" w:rsidRPr="00BC1607" w:rsidRDefault="00212C8C" w:rsidP="00AA0A75">
            <w:pPr>
              <w:spacing w:line="240" w:lineRule="auto"/>
              <w:ind w:left="5"/>
              <w:jc w:val="both"/>
              <w:rPr>
                <w:rFonts w:ascii="Century Gothic" w:hAnsi="Century Gothic"/>
                <w:b/>
                <w:sz w:val="18"/>
                <w:szCs w:val="18"/>
              </w:rPr>
            </w:pPr>
          </w:p>
        </w:tc>
      </w:tr>
      <w:bookmarkEnd w:id="0"/>
    </w:tbl>
    <w:p w14:paraId="228AA69D" w14:textId="77777777" w:rsidR="00212C8C" w:rsidRPr="00AA0A75" w:rsidRDefault="00212C8C" w:rsidP="00AA0A75">
      <w:pPr>
        <w:spacing w:line="240" w:lineRule="auto"/>
        <w:jc w:val="both"/>
        <w:rPr>
          <w:rFonts w:ascii="Century Gothic" w:hAnsi="Century Gothic"/>
          <w:sz w:val="20"/>
        </w:rPr>
      </w:pPr>
    </w:p>
    <w:p w14:paraId="129E2CDD" w14:textId="0B4C4EA2" w:rsidR="00212C8C" w:rsidRPr="00AA0A75" w:rsidRDefault="00212C8C" w:rsidP="00AA0A75">
      <w:pPr>
        <w:keepNext/>
        <w:keepLines/>
        <w:widowControl w:val="0"/>
        <w:numPr>
          <w:ilvl w:val="0"/>
          <w:numId w:val="1"/>
        </w:numPr>
        <w:tabs>
          <w:tab w:val="num" w:pos="360"/>
        </w:tabs>
        <w:spacing w:line="240" w:lineRule="auto"/>
        <w:ind w:left="360"/>
        <w:jc w:val="both"/>
        <w:rPr>
          <w:rFonts w:ascii="Century Gothic" w:hAnsi="Century Gothic"/>
          <w:b/>
          <w:caps/>
          <w:sz w:val="20"/>
        </w:rPr>
      </w:pPr>
      <w:r w:rsidRPr="00AA0A75">
        <w:rPr>
          <w:rFonts w:ascii="Century Gothic" w:hAnsi="Century Gothic"/>
          <w:b/>
          <w:caps/>
          <w:sz w:val="20"/>
        </w:rPr>
        <w:lastRenderedPageBreak/>
        <w:t>TIMETABLE</w:t>
      </w:r>
    </w:p>
    <w:p w14:paraId="592BE6B6" w14:textId="77777777" w:rsidR="00212C8C" w:rsidRPr="00AA0A75" w:rsidRDefault="00212C8C" w:rsidP="00AA0A75">
      <w:pPr>
        <w:spacing w:line="240" w:lineRule="auto"/>
        <w:jc w:val="both"/>
        <w:rPr>
          <w:rFonts w:ascii="Century Gothic" w:hAnsi="Century Gothic"/>
          <w:sz w:val="20"/>
        </w:rPr>
      </w:pPr>
    </w:p>
    <w:p w14:paraId="043EB873" w14:textId="77777777" w:rsidR="00212C8C" w:rsidRPr="00AA0A75" w:rsidRDefault="00212C8C" w:rsidP="00AA0A75">
      <w:pPr>
        <w:spacing w:line="240" w:lineRule="auto"/>
        <w:jc w:val="both"/>
        <w:rPr>
          <w:rFonts w:ascii="Century Gothic" w:hAnsi="Century Gothic"/>
          <w:sz w:val="20"/>
        </w:rPr>
      </w:pPr>
      <w:r w:rsidRPr="00AA0A75">
        <w:rPr>
          <w:rFonts w:ascii="Century Gothic" w:hAnsi="Century Gothic"/>
          <w:sz w:val="20"/>
        </w:rPr>
        <w:t>The outputs are expected over a period of 120 days spread over a period of 18 months beginning June 2023 and completed in Dec 2023.  A summary schedule is included below:</w:t>
      </w:r>
    </w:p>
    <w:p w14:paraId="7536CF91" w14:textId="77777777" w:rsidR="00212C8C" w:rsidRPr="00AA0A75" w:rsidRDefault="00212C8C" w:rsidP="00AA0A75">
      <w:pPr>
        <w:spacing w:line="240" w:lineRule="auto"/>
        <w:jc w:val="both"/>
        <w:rPr>
          <w:rFonts w:ascii="Century Gothic" w:hAnsi="Century Gothic"/>
          <w:sz w:val="20"/>
        </w:rPr>
      </w:pPr>
    </w:p>
    <w:p w14:paraId="52C5EBEE" w14:textId="77777777" w:rsidR="00212C8C" w:rsidRPr="00AA0A75" w:rsidRDefault="00212C8C" w:rsidP="00AA0A75">
      <w:pPr>
        <w:spacing w:line="240" w:lineRule="auto"/>
        <w:jc w:val="both"/>
        <w:rPr>
          <w:rFonts w:ascii="Century Gothic" w:hAnsi="Century Gothic"/>
          <w:sz w:val="20"/>
        </w:rPr>
      </w:pPr>
      <w:r w:rsidRPr="00AA0A75">
        <w:rPr>
          <w:rFonts w:ascii="Century Gothic" w:hAnsi="Century Gothic"/>
          <w:noProof/>
          <w:sz w:val="20"/>
        </w:rPr>
        <w:drawing>
          <wp:inline distT="0" distB="0" distL="0" distR="0" wp14:anchorId="0DF8E5DA" wp14:editId="20968E40">
            <wp:extent cx="5779189" cy="2660650"/>
            <wp:effectExtent l="0" t="0" r="0" b="6350"/>
            <wp:docPr id="905391559" name="Picture 1"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391559" name="Picture 1" descr="A screenshot of a computer&#10;&#10;Description automatically generated with medium confidence"/>
                    <pic:cNvPicPr/>
                  </pic:nvPicPr>
                  <pic:blipFill>
                    <a:blip r:embed="rId11"/>
                    <a:stretch>
                      <a:fillRect/>
                    </a:stretch>
                  </pic:blipFill>
                  <pic:spPr>
                    <a:xfrm>
                      <a:off x="0" y="0"/>
                      <a:ext cx="5788245" cy="2664819"/>
                    </a:xfrm>
                    <a:prstGeom prst="rect">
                      <a:avLst/>
                    </a:prstGeom>
                  </pic:spPr>
                </pic:pic>
              </a:graphicData>
            </a:graphic>
          </wp:inline>
        </w:drawing>
      </w:r>
    </w:p>
    <w:p w14:paraId="0F6AF884" w14:textId="77777777" w:rsidR="00A73A38" w:rsidRPr="00AA0A75" w:rsidRDefault="00A73A38" w:rsidP="00AA0A75">
      <w:pPr>
        <w:spacing w:line="240" w:lineRule="auto"/>
        <w:jc w:val="both"/>
        <w:rPr>
          <w:rFonts w:ascii="Century Gothic" w:hAnsi="Century Gothic"/>
          <w:b/>
          <w:sz w:val="20"/>
        </w:rPr>
      </w:pPr>
    </w:p>
    <w:p w14:paraId="79A3702B" w14:textId="77777777" w:rsidR="00570F71" w:rsidRPr="00AA0A75" w:rsidRDefault="00570F71" w:rsidP="00AA0A75">
      <w:pPr>
        <w:keepNext/>
        <w:keepLines/>
        <w:widowControl w:val="0"/>
        <w:numPr>
          <w:ilvl w:val="0"/>
          <w:numId w:val="1"/>
        </w:numPr>
        <w:tabs>
          <w:tab w:val="num" w:pos="360"/>
        </w:tabs>
        <w:spacing w:line="240" w:lineRule="auto"/>
        <w:ind w:left="360"/>
        <w:jc w:val="both"/>
        <w:rPr>
          <w:rFonts w:ascii="Century Gothic" w:hAnsi="Century Gothic"/>
          <w:b/>
          <w:bCs/>
          <w:caps/>
          <w:sz w:val="20"/>
        </w:rPr>
      </w:pPr>
      <w:r w:rsidRPr="00AA0A75">
        <w:rPr>
          <w:rFonts w:ascii="Century Gothic" w:hAnsi="Century Gothic"/>
          <w:b/>
          <w:bCs/>
          <w:sz w:val="20"/>
        </w:rPr>
        <w:t>SUBMISSION</w:t>
      </w:r>
      <w:r w:rsidRPr="00AA0A75">
        <w:rPr>
          <w:rFonts w:ascii="Century Gothic" w:hAnsi="Century Gothic"/>
          <w:b/>
          <w:bCs/>
          <w:caps/>
          <w:sz w:val="20"/>
        </w:rPr>
        <w:t> </w:t>
      </w:r>
    </w:p>
    <w:p w14:paraId="0E132DAA" w14:textId="77777777" w:rsidR="00570F71" w:rsidRPr="00AA0A75" w:rsidRDefault="00570F71" w:rsidP="00AA0A75">
      <w:pPr>
        <w:pStyle w:val="paragraph"/>
        <w:spacing w:before="0" w:beforeAutospacing="0" w:after="0" w:afterAutospacing="0"/>
        <w:jc w:val="both"/>
        <w:textAlignment w:val="baseline"/>
        <w:rPr>
          <w:rFonts w:ascii="Century Gothic" w:hAnsi="Century Gothic" w:cs="Segoe UI"/>
          <w:sz w:val="20"/>
          <w:szCs w:val="20"/>
        </w:rPr>
      </w:pPr>
      <w:r w:rsidRPr="00AA0A75">
        <w:rPr>
          <w:rFonts w:ascii="Century Gothic" w:hAnsi="Century Gothic"/>
          <w:sz w:val="20"/>
          <w:szCs w:val="20"/>
        </w:rPr>
        <w:t> </w:t>
      </w:r>
    </w:p>
    <w:p w14:paraId="10CB98F8" w14:textId="77777777" w:rsidR="00570F71" w:rsidRPr="00AA0A75" w:rsidRDefault="00570F71" w:rsidP="00AA0A75">
      <w:pPr>
        <w:keepNext/>
        <w:keepLines/>
        <w:widowControl w:val="0"/>
        <w:spacing w:line="240" w:lineRule="auto"/>
        <w:jc w:val="both"/>
        <w:rPr>
          <w:rFonts w:ascii="Century Gothic" w:hAnsi="Century Gothic"/>
          <w:b/>
          <w:caps/>
          <w:sz w:val="20"/>
        </w:rPr>
      </w:pPr>
      <w:r w:rsidRPr="00AA0A75">
        <w:rPr>
          <w:rStyle w:val="normaltextrun"/>
          <w:rFonts w:ascii="Century Gothic" w:hAnsi="Century Gothic" w:cs="Segoe UI"/>
          <w:sz w:val="20"/>
        </w:rPr>
        <w:t xml:space="preserve">Interested bidders should send proposals by email to </w:t>
      </w:r>
      <w:hyperlink r:id="rId12" w:tgtFrame="_blank" w:history="1">
        <w:r w:rsidRPr="00AA0A75">
          <w:rPr>
            <w:rStyle w:val="normaltextrun"/>
            <w:rFonts w:ascii="Century Gothic" w:hAnsi="Century Gothic" w:cs="Segoe UI"/>
            <w:color w:val="0563C1"/>
            <w:sz w:val="20"/>
            <w:u w:val="single"/>
          </w:rPr>
          <w:t>tenders@fsdkenya.org</w:t>
        </w:r>
      </w:hyperlink>
      <w:r w:rsidRPr="00AA0A75">
        <w:rPr>
          <w:rStyle w:val="normaltextrun"/>
          <w:rFonts w:ascii="Century Gothic" w:hAnsi="Century Gothic" w:cs="Segoe UI"/>
          <w:sz w:val="20"/>
        </w:rPr>
        <w:t xml:space="preserve"> on or before </w:t>
      </w:r>
      <w:r w:rsidRPr="00AA0A75">
        <w:rPr>
          <w:rFonts w:ascii="Century Gothic" w:hAnsi="Century Gothic"/>
          <w:b/>
          <w:bCs/>
          <w:sz w:val="20"/>
        </w:rPr>
        <w:t>June 16th, 2023, at 17:00HRS (EAT)</w:t>
      </w:r>
      <w:r w:rsidRPr="00AA0A75">
        <w:rPr>
          <w:rFonts w:ascii="Century Gothic" w:hAnsi="Century Gothic"/>
          <w:sz w:val="20"/>
        </w:rPr>
        <w:t xml:space="preserve"> with the subject line </w:t>
      </w:r>
      <w:r w:rsidRPr="00AA0A75">
        <w:rPr>
          <w:rFonts w:ascii="Century Gothic" w:hAnsi="Century Gothic"/>
          <w:b/>
          <w:bCs/>
          <w:sz w:val="20"/>
        </w:rPr>
        <w:t>“</w:t>
      </w:r>
      <w:r w:rsidRPr="00AA0A75">
        <w:rPr>
          <w:rFonts w:ascii="Century Gothic" w:hAnsi="Century Gothic"/>
          <w:b/>
          <w:caps/>
          <w:sz w:val="20"/>
        </w:rPr>
        <w:t>DIGITAL FINANCE RESEARCH CONSULTANT</w:t>
      </w:r>
      <w:r w:rsidRPr="00AA0A75">
        <w:rPr>
          <w:rStyle w:val="normaltextrun"/>
          <w:rFonts w:ascii="Century Gothic" w:hAnsi="Century Gothic" w:cs="Segoe UI"/>
          <w:b/>
          <w:bCs/>
          <w:caps/>
          <w:sz w:val="20"/>
        </w:rPr>
        <w:t>”.</w:t>
      </w:r>
      <w:r w:rsidRPr="00AA0A75">
        <w:rPr>
          <w:rStyle w:val="eop"/>
          <w:rFonts w:ascii="Century Gothic" w:hAnsi="Century Gothic" w:cs="Segoe UI"/>
          <w:sz w:val="20"/>
        </w:rPr>
        <w:t> </w:t>
      </w:r>
    </w:p>
    <w:p w14:paraId="6DB81D23" w14:textId="77777777" w:rsidR="00570F71" w:rsidRPr="00AA0A75" w:rsidRDefault="00570F71" w:rsidP="00AA0A75">
      <w:pPr>
        <w:pStyle w:val="paragraph"/>
        <w:spacing w:before="0" w:beforeAutospacing="0" w:after="0" w:afterAutospacing="0"/>
        <w:jc w:val="both"/>
        <w:textAlignment w:val="baseline"/>
        <w:rPr>
          <w:rFonts w:ascii="Century Gothic" w:hAnsi="Century Gothic" w:cs="Segoe UI"/>
          <w:sz w:val="20"/>
          <w:szCs w:val="20"/>
        </w:rPr>
      </w:pPr>
      <w:r w:rsidRPr="00AA0A75">
        <w:rPr>
          <w:rStyle w:val="eop"/>
          <w:rFonts w:ascii="Century Gothic" w:hAnsi="Century Gothic" w:cs="Segoe UI"/>
          <w:sz w:val="20"/>
          <w:szCs w:val="20"/>
        </w:rPr>
        <w:t> </w:t>
      </w:r>
    </w:p>
    <w:p w14:paraId="4B42A6A6" w14:textId="77777777" w:rsidR="00570F71" w:rsidRPr="00AA0A75" w:rsidRDefault="00570F71" w:rsidP="00AA0A75">
      <w:pPr>
        <w:pStyle w:val="paragraph"/>
        <w:spacing w:before="0" w:beforeAutospacing="0" w:after="0" w:afterAutospacing="0"/>
        <w:jc w:val="both"/>
        <w:textAlignment w:val="baseline"/>
        <w:rPr>
          <w:rFonts w:ascii="Century Gothic" w:hAnsi="Century Gothic" w:cs="Segoe UI"/>
          <w:sz w:val="20"/>
          <w:szCs w:val="20"/>
        </w:rPr>
      </w:pPr>
      <w:r w:rsidRPr="00AA0A75">
        <w:rPr>
          <w:rStyle w:val="normaltextrun"/>
          <w:rFonts w:ascii="Century Gothic" w:hAnsi="Century Gothic" w:cs="Segoe UI"/>
          <w:sz w:val="20"/>
          <w:szCs w:val="20"/>
          <w:lang w:val="en-GB"/>
        </w:rPr>
        <w:t xml:space="preserve">If you have any clarification questions, please email us at </w:t>
      </w:r>
      <w:hyperlink r:id="rId13" w:tgtFrame="_blank" w:history="1">
        <w:r w:rsidRPr="00AA0A75">
          <w:rPr>
            <w:rStyle w:val="normaltextrun"/>
            <w:rFonts w:ascii="Century Gothic" w:hAnsi="Century Gothic" w:cs="Segoe UI"/>
            <w:color w:val="0563C1"/>
            <w:sz w:val="20"/>
            <w:szCs w:val="20"/>
            <w:u w:val="single"/>
            <w:lang w:val="en-GB"/>
          </w:rPr>
          <w:t>tenders@fsdkenya.org</w:t>
        </w:r>
      </w:hyperlink>
      <w:r w:rsidRPr="00AA0A75">
        <w:rPr>
          <w:rStyle w:val="normaltextrun"/>
          <w:rFonts w:ascii="Century Gothic" w:hAnsi="Century Gothic" w:cs="Segoe UI"/>
          <w:sz w:val="20"/>
          <w:szCs w:val="20"/>
          <w:lang w:val="en-GB"/>
        </w:rPr>
        <w:t xml:space="preserve"> no later than 12th June 2023. Responses to clarification questions shall be sent on 13th June 2023.</w:t>
      </w:r>
      <w:r w:rsidRPr="00AA0A75">
        <w:rPr>
          <w:rStyle w:val="eop"/>
          <w:rFonts w:ascii="Century Gothic" w:hAnsi="Century Gothic" w:cs="Segoe UI"/>
          <w:sz w:val="20"/>
          <w:szCs w:val="20"/>
        </w:rPr>
        <w:t> </w:t>
      </w:r>
    </w:p>
    <w:p w14:paraId="57000D8A" w14:textId="77777777" w:rsidR="00570F71" w:rsidRPr="00AA0A75" w:rsidRDefault="00570F71" w:rsidP="00AA0A75">
      <w:pPr>
        <w:pStyle w:val="paragraph"/>
        <w:spacing w:before="0" w:beforeAutospacing="0" w:after="0" w:afterAutospacing="0"/>
        <w:jc w:val="both"/>
        <w:textAlignment w:val="baseline"/>
        <w:rPr>
          <w:rFonts w:ascii="Century Gothic" w:hAnsi="Century Gothic" w:cs="Segoe UI"/>
          <w:sz w:val="20"/>
          <w:szCs w:val="20"/>
        </w:rPr>
      </w:pPr>
      <w:r w:rsidRPr="00AA0A75">
        <w:rPr>
          <w:rFonts w:ascii="Century Gothic" w:hAnsi="Century Gothic"/>
          <w:sz w:val="20"/>
          <w:szCs w:val="20"/>
        </w:rPr>
        <w:t> </w:t>
      </w:r>
    </w:p>
    <w:p w14:paraId="38143BCD" w14:textId="77777777" w:rsidR="00570F71" w:rsidRPr="00AA0A75" w:rsidRDefault="00570F71" w:rsidP="00AA0A75">
      <w:pPr>
        <w:pStyle w:val="paragraph"/>
        <w:spacing w:before="0" w:beforeAutospacing="0" w:after="0" w:afterAutospacing="0"/>
        <w:jc w:val="both"/>
        <w:textAlignment w:val="baseline"/>
        <w:rPr>
          <w:rFonts w:ascii="Century Gothic" w:hAnsi="Century Gothic" w:cs="Segoe UI"/>
          <w:sz w:val="20"/>
          <w:szCs w:val="20"/>
        </w:rPr>
      </w:pPr>
      <w:r w:rsidRPr="00AA0A75">
        <w:rPr>
          <w:rStyle w:val="normaltextrun"/>
          <w:rFonts w:ascii="Century Gothic" w:hAnsi="Century Gothic" w:cs="Segoe UI"/>
          <w:sz w:val="20"/>
          <w:szCs w:val="20"/>
          <w:lang w:val="en-GB"/>
        </w:rPr>
        <w:t xml:space="preserve">FSD Kenya will undertake a due diligence assessment and screening of the preferred Bidder to include reference checks. FSD Kenya will share a Third-party screening questionnaire to aid in processing the assessment and screening. FSD Kenya reserves the right to </w:t>
      </w:r>
      <w:r w:rsidRPr="00AA0A75">
        <w:rPr>
          <w:rStyle w:val="normaltextrun"/>
          <w:rFonts w:ascii="Century Gothic" w:hAnsi="Century Gothic"/>
          <w:sz w:val="20"/>
          <w:szCs w:val="20"/>
        </w:rPr>
        <w:t>proceed or reject Bidder(s) depending on the outcome of this assessment and consider the next ranked bidder. The findings of this assessment will be kept confidential and used internally for the purposes of this evaluation. </w:t>
      </w:r>
      <w:r w:rsidRPr="00AA0A75">
        <w:rPr>
          <w:rStyle w:val="eop"/>
          <w:rFonts w:ascii="Century Gothic" w:hAnsi="Century Gothic" w:cs="Segoe UI"/>
          <w:sz w:val="20"/>
          <w:szCs w:val="20"/>
        </w:rPr>
        <w:t> </w:t>
      </w:r>
    </w:p>
    <w:p w14:paraId="7B470B0D" w14:textId="77777777" w:rsidR="00570F71" w:rsidRPr="00AA0A75" w:rsidRDefault="00570F71" w:rsidP="00AA0A75">
      <w:pPr>
        <w:pStyle w:val="paragraph"/>
        <w:spacing w:before="0" w:beforeAutospacing="0" w:after="0" w:afterAutospacing="0"/>
        <w:jc w:val="both"/>
        <w:textAlignment w:val="baseline"/>
        <w:rPr>
          <w:rFonts w:ascii="Century Gothic" w:hAnsi="Century Gothic" w:cs="Segoe UI"/>
          <w:sz w:val="20"/>
          <w:szCs w:val="20"/>
        </w:rPr>
      </w:pPr>
      <w:r w:rsidRPr="00AA0A75">
        <w:rPr>
          <w:rFonts w:ascii="Century Gothic" w:hAnsi="Century Gothic"/>
          <w:sz w:val="20"/>
          <w:szCs w:val="20"/>
        </w:rPr>
        <w:t> </w:t>
      </w:r>
    </w:p>
    <w:p w14:paraId="6F7FDAEB" w14:textId="77777777" w:rsidR="00570F71" w:rsidRPr="00AA0A75" w:rsidRDefault="00570F71" w:rsidP="00AA0A75">
      <w:pPr>
        <w:pStyle w:val="paragraph"/>
        <w:spacing w:before="0" w:beforeAutospacing="0" w:after="0" w:afterAutospacing="0"/>
        <w:jc w:val="both"/>
        <w:textAlignment w:val="baseline"/>
        <w:rPr>
          <w:rFonts w:ascii="Century Gothic" w:hAnsi="Century Gothic" w:cs="Segoe UI"/>
          <w:sz w:val="20"/>
          <w:szCs w:val="20"/>
        </w:rPr>
      </w:pPr>
      <w:r w:rsidRPr="00AA0A75">
        <w:rPr>
          <w:rStyle w:val="normaltextrun"/>
          <w:rFonts w:ascii="Century Gothic" w:hAnsi="Century Gothic" w:cs="Segoe UI"/>
          <w:sz w:val="20"/>
          <w:szCs w:val="20"/>
          <w:lang w:val="en-GB"/>
        </w:rPr>
        <w:t>FSD Kenya reserves the right to accept any tender (s) or to reject all tenders at any time. FSD Kenya also reserves the right to cancel this procurement at any point in time prior to award of the contract. </w:t>
      </w:r>
      <w:r w:rsidRPr="00AA0A75">
        <w:rPr>
          <w:rStyle w:val="eop"/>
          <w:rFonts w:ascii="Century Gothic" w:hAnsi="Century Gothic" w:cs="Segoe UI"/>
          <w:sz w:val="20"/>
          <w:szCs w:val="20"/>
        </w:rPr>
        <w:t> </w:t>
      </w:r>
    </w:p>
    <w:p w14:paraId="16FE6A7A" w14:textId="77777777" w:rsidR="00570F71" w:rsidRPr="00AA0A75" w:rsidRDefault="00570F71" w:rsidP="00AA0A75">
      <w:pPr>
        <w:pStyle w:val="paragraph"/>
        <w:spacing w:before="0" w:beforeAutospacing="0" w:after="0" w:afterAutospacing="0"/>
        <w:jc w:val="both"/>
        <w:textAlignment w:val="baseline"/>
        <w:rPr>
          <w:rFonts w:ascii="Century Gothic" w:hAnsi="Century Gothic" w:cs="Segoe UI"/>
          <w:sz w:val="20"/>
          <w:szCs w:val="20"/>
        </w:rPr>
      </w:pPr>
      <w:r w:rsidRPr="00AA0A75">
        <w:rPr>
          <w:rFonts w:ascii="Century Gothic" w:hAnsi="Century Gothic"/>
          <w:sz w:val="20"/>
          <w:szCs w:val="20"/>
        </w:rPr>
        <w:t> </w:t>
      </w:r>
    </w:p>
    <w:p w14:paraId="39477C99" w14:textId="77777777" w:rsidR="00570F71" w:rsidRPr="00AA0A75" w:rsidRDefault="00570F71" w:rsidP="00AA0A75">
      <w:pPr>
        <w:pStyle w:val="paragraph"/>
        <w:spacing w:before="0" w:beforeAutospacing="0" w:after="0" w:afterAutospacing="0"/>
        <w:jc w:val="both"/>
        <w:textAlignment w:val="baseline"/>
        <w:rPr>
          <w:rFonts w:ascii="Century Gothic" w:hAnsi="Century Gothic" w:cs="Segoe UI"/>
          <w:sz w:val="20"/>
          <w:szCs w:val="20"/>
        </w:rPr>
      </w:pPr>
      <w:r w:rsidRPr="00AA0A75">
        <w:rPr>
          <w:rStyle w:val="normaltextrun"/>
          <w:rFonts w:ascii="Century Gothic" w:hAnsi="Century Gothic" w:cs="Segoe UI"/>
          <w:sz w:val="20"/>
          <w:szCs w:val="20"/>
          <w:lang w:val="en-GB"/>
        </w:rPr>
        <w:t xml:space="preserve">If you would like to lodge a complaint </w:t>
      </w:r>
      <w:r w:rsidRPr="00AA0A75">
        <w:rPr>
          <w:rStyle w:val="normaltextrun"/>
          <w:rFonts w:ascii="Century Gothic" w:hAnsi="Century Gothic"/>
          <w:sz w:val="20"/>
          <w:szCs w:val="20"/>
        </w:rPr>
        <w:t xml:space="preserve">regarding this procurement process, please write to </w:t>
      </w:r>
      <w:hyperlink r:id="rId14" w:tgtFrame="_blank" w:history="1">
        <w:r w:rsidRPr="00AA0A75">
          <w:rPr>
            <w:rStyle w:val="normaltextrun"/>
            <w:rFonts w:ascii="Century Gothic" w:hAnsi="Century Gothic" w:cs="Segoe UI"/>
            <w:color w:val="0563C1"/>
            <w:sz w:val="20"/>
            <w:szCs w:val="20"/>
            <w:u w:val="single"/>
            <w:lang w:val="en-GB"/>
          </w:rPr>
          <w:t>tenders@fsdkenya.org</w:t>
        </w:r>
      </w:hyperlink>
      <w:r w:rsidRPr="00AA0A75">
        <w:rPr>
          <w:rStyle w:val="normaltextrun"/>
          <w:rFonts w:ascii="Century Gothic" w:hAnsi="Century Gothic" w:cs="Segoe UI"/>
          <w:sz w:val="20"/>
          <w:szCs w:val="20"/>
          <w:lang w:val="en-GB"/>
        </w:rPr>
        <w:t xml:space="preserve"> with the address </w:t>
      </w:r>
      <w:r w:rsidRPr="00AA0A75">
        <w:rPr>
          <w:rFonts w:ascii="Century Gothic" w:hAnsi="Century Gothic"/>
          <w:b/>
          <w:sz w:val="20"/>
          <w:szCs w:val="20"/>
        </w:rPr>
        <w:t>digital finance research consultant</w:t>
      </w:r>
      <w:r w:rsidRPr="00AA0A75">
        <w:rPr>
          <w:rStyle w:val="normaltextrun"/>
          <w:rFonts w:ascii="Century Gothic" w:hAnsi="Century Gothic" w:cs="Segoe UI"/>
          <w:sz w:val="20"/>
          <w:szCs w:val="20"/>
          <w:lang w:val="en-GB"/>
        </w:rPr>
        <w:t>. FSD Kenya procurement team will acknowledge receipt of the complaint in writing within three (3) working days. </w:t>
      </w:r>
      <w:r w:rsidRPr="00AA0A75">
        <w:rPr>
          <w:rStyle w:val="eop"/>
          <w:rFonts w:ascii="Century Gothic" w:hAnsi="Century Gothic" w:cs="Segoe UI"/>
          <w:sz w:val="20"/>
          <w:szCs w:val="20"/>
        </w:rPr>
        <w:t> </w:t>
      </w:r>
    </w:p>
    <w:p w14:paraId="0683CEDB" w14:textId="77777777" w:rsidR="00570F71" w:rsidRPr="00AA0A75" w:rsidRDefault="00570F71" w:rsidP="00AA0A75">
      <w:pPr>
        <w:pStyle w:val="paragraph"/>
        <w:spacing w:before="0" w:beforeAutospacing="0" w:after="0" w:afterAutospacing="0"/>
        <w:jc w:val="both"/>
        <w:textAlignment w:val="baseline"/>
        <w:rPr>
          <w:rFonts w:ascii="Century Gothic" w:hAnsi="Century Gothic" w:cs="Segoe UI"/>
          <w:sz w:val="20"/>
          <w:szCs w:val="20"/>
        </w:rPr>
      </w:pPr>
      <w:r w:rsidRPr="00AA0A75">
        <w:rPr>
          <w:rFonts w:ascii="Century Gothic" w:hAnsi="Century Gothic"/>
          <w:sz w:val="20"/>
          <w:szCs w:val="20"/>
        </w:rPr>
        <w:t> </w:t>
      </w:r>
    </w:p>
    <w:p w14:paraId="09A34FCC" w14:textId="77777777" w:rsidR="00570F71" w:rsidRPr="00AA0A75" w:rsidRDefault="00570F71" w:rsidP="00AA0A75">
      <w:pPr>
        <w:pStyle w:val="paragraph"/>
        <w:spacing w:before="0" w:beforeAutospacing="0" w:after="0" w:afterAutospacing="0"/>
        <w:jc w:val="both"/>
        <w:textAlignment w:val="baseline"/>
        <w:rPr>
          <w:rFonts w:ascii="Century Gothic" w:hAnsi="Century Gothic" w:cs="Segoe UI"/>
          <w:sz w:val="20"/>
          <w:szCs w:val="20"/>
        </w:rPr>
      </w:pPr>
      <w:r w:rsidRPr="00AA0A75">
        <w:rPr>
          <w:rStyle w:val="normaltextrun"/>
          <w:rFonts w:ascii="Century Gothic" w:hAnsi="Century Gothic" w:cs="Segoe UI"/>
          <w:sz w:val="20"/>
          <w:szCs w:val="20"/>
          <w:lang w:val="en-GB"/>
        </w:rPr>
        <w:t>During the course of</w:t>
      </w:r>
      <w:r w:rsidRPr="00AA0A75">
        <w:rPr>
          <w:rStyle w:val="normaltextrun"/>
          <w:rFonts w:ascii="Century Gothic" w:hAnsi="Century Gothic"/>
          <w:sz w:val="20"/>
          <w:szCs w:val="20"/>
        </w:rPr>
        <w:t xml:space="preserve"> this procurement if you come across any issues of bribery, corruption or wrong doing on FSD Kenya part, please feel free to contact Julius Anyega, FSD Kenya Chief Operations Officer at </w:t>
      </w:r>
      <w:hyperlink r:id="rId15" w:tgtFrame="_blank" w:history="1">
        <w:r w:rsidRPr="00AA0A75">
          <w:rPr>
            <w:rStyle w:val="normaltextrun"/>
            <w:rFonts w:ascii="Century Gothic" w:hAnsi="Century Gothic" w:cs="Segoe UI"/>
            <w:color w:val="0563C1"/>
            <w:sz w:val="20"/>
            <w:szCs w:val="20"/>
            <w:u w:val="single"/>
            <w:lang w:val="en-GB"/>
          </w:rPr>
          <w:t>Julius.Anyega@fsdkenya.org</w:t>
        </w:r>
      </w:hyperlink>
      <w:r w:rsidRPr="00AA0A75">
        <w:rPr>
          <w:rStyle w:val="normaltextrun"/>
          <w:rFonts w:ascii="Century Gothic" w:hAnsi="Century Gothic" w:cs="Segoe UI"/>
          <w:color w:val="0563C1"/>
          <w:sz w:val="20"/>
          <w:szCs w:val="20"/>
          <w:u w:val="single"/>
          <w:lang w:val="en-GB"/>
        </w:rPr>
        <w:t xml:space="preserve"> </w:t>
      </w:r>
      <w:r w:rsidRPr="00AA0A75">
        <w:rPr>
          <w:rFonts w:ascii="Century Gothic" w:hAnsi="Century Gothic"/>
          <w:sz w:val="20"/>
          <w:szCs w:val="20"/>
        </w:rPr>
        <w:t xml:space="preserve">or </w:t>
      </w:r>
      <w:hyperlink r:id="rId16" w:tgtFrame="_blank" w:history="1">
        <w:r w:rsidRPr="00AA0A75">
          <w:rPr>
            <w:rStyle w:val="normaltextrun"/>
            <w:rFonts w:ascii="Century Gothic" w:hAnsi="Century Gothic" w:cs="Segoe UI"/>
            <w:color w:val="0563C1"/>
            <w:sz w:val="20"/>
            <w:szCs w:val="20"/>
            <w:u w:val="single"/>
            <w:lang w:val="en-GB"/>
          </w:rPr>
          <w:t>transparency@fsdkenya.org</w:t>
        </w:r>
      </w:hyperlink>
      <w:r w:rsidRPr="00AA0A75">
        <w:rPr>
          <w:rStyle w:val="eop"/>
          <w:rFonts w:ascii="Century Gothic" w:hAnsi="Century Gothic" w:cs="Segoe UI"/>
          <w:sz w:val="20"/>
          <w:szCs w:val="20"/>
        </w:rPr>
        <w:t> </w:t>
      </w:r>
    </w:p>
    <w:p w14:paraId="59390D57" w14:textId="77777777" w:rsidR="00570F71" w:rsidRPr="00AA0A75" w:rsidRDefault="00570F71" w:rsidP="00AA0A75">
      <w:pPr>
        <w:pStyle w:val="paragraph"/>
        <w:spacing w:before="0" w:beforeAutospacing="0" w:after="0" w:afterAutospacing="0"/>
        <w:jc w:val="both"/>
        <w:textAlignment w:val="baseline"/>
        <w:rPr>
          <w:rFonts w:ascii="Century Gothic" w:hAnsi="Century Gothic" w:cs="Segoe UI"/>
          <w:sz w:val="20"/>
          <w:szCs w:val="20"/>
        </w:rPr>
      </w:pPr>
      <w:r w:rsidRPr="00AA0A75">
        <w:rPr>
          <w:rFonts w:ascii="Century Gothic" w:hAnsi="Century Gothic"/>
          <w:sz w:val="20"/>
          <w:szCs w:val="20"/>
        </w:rPr>
        <w:t> </w:t>
      </w:r>
    </w:p>
    <w:p w14:paraId="7CC1A056" w14:textId="77777777" w:rsidR="00570F71" w:rsidRPr="00AA0A75" w:rsidRDefault="00570F71" w:rsidP="00AA0A75">
      <w:pPr>
        <w:pStyle w:val="paragraph"/>
        <w:spacing w:before="0" w:beforeAutospacing="0" w:after="0" w:afterAutospacing="0"/>
        <w:jc w:val="both"/>
        <w:textAlignment w:val="baseline"/>
        <w:rPr>
          <w:rFonts w:ascii="Century Gothic" w:hAnsi="Century Gothic" w:cs="Segoe UI"/>
          <w:sz w:val="20"/>
          <w:szCs w:val="20"/>
        </w:rPr>
      </w:pPr>
      <w:r w:rsidRPr="00AA0A75">
        <w:rPr>
          <w:rStyle w:val="normaltextrun"/>
          <w:rFonts w:ascii="Century Gothic" w:hAnsi="Century Gothic" w:cs="Segoe UI"/>
          <w:sz w:val="20"/>
          <w:szCs w:val="20"/>
          <w:lang w:val="en-GB"/>
        </w:rPr>
        <w:t xml:space="preserve">Tender security is NOT </w:t>
      </w:r>
      <w:r w:rsidRPr="00AA0A75">
        <w:rPr>
          <w:rStyle w:val="normaltextrun"/>
          <w:rFonts w:ascii="Century Gothic" w:hAnsi="Century Gothic"/>
          <w:sz w:val="20"/>
          <w:szCs w:val="20"/>
        </w:rPr>
        <w:t>required. Issuance of this request for proposals in no way obligates FSD Kenya to award a contract. Applicants will not be reimbursed for any costs associated with their application.</w:t>
      </w:r>
      <w:r w:rsidRPr="00AA0A75">
        <w:rPr>
          <w:rStyle w:val="eop"/>
          <w:rFonts w:ascii="Century Gothic" w:hAnsi="Century Gothic" w:cs="Segoe UI"/>
          <w:sz w:val="20"/>
          <w:szCs w:val="20"/>
        </w:rPr>
        <w:t> </w:t>
      </w:r>
    </w:p>
    <w:p w14:paraId="7DACDFE5" w14:textId="77777777" w:rsidR="00570F71" w:rsidRPr="00AA0A75" w:rsidRDefault="00570F71" w:rsidP="00AA0A75">
      <w:pPr>
        <w:spacing w:line="240" w:lineRule="auto"/>
        <w:jc w:val="both"/>
        <w:rPr>
          <w:rFonts w:ascii="Century Gothic" w:hAnsi="Century Gothic"/>
          <w:b/>
          <w:sz w:val="20"/>
        </w:rPr>
      </w:pPr>
    </w:p>
    <w:sectPr w:rsidR="00570F71" w:rsidRPr="00AA0A75" w:rsidSect="00BC1607">
      <w:headerReference w:type="default" r:id="rId17"/>
      <w:footerReference w:type="default" r:id="rId18"/>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6A74E" w14:textId="77777777" w:rsidR="009D0CC2" w:rsidRDefault="009D0CC2" w:rsidP="00A46004">
      <w:pPr>
        <w:spacing w:line="240" w:lineRule="auto"/>
      </w:pPr>
      <w:r>
        <w:separator/>
      </w:r>
    </w:p>
  </w:endnote>
  <w:endnote w:type="continuationSeparator" w:id="0">
    <w:p w14:paraId="42A956A7" w14:textId="77777777" w:rsidR="009D0CC2" w:rsidRDefault="009D0CC2" w:rsidP="00A46004">
      <w:pPr>
        <w:spacing w:line="240" w:lineRule="auto"/>
      </w:pPr>
      <w:r>
        <w:continuationSeparator/>
      </w:r>
    </w:p>
  </w:endnote>
  <w:endnote w:type="continuationNotice" w:id="1">
    <w:p w14:paraId="1E02427A" w14:textId="77777777" w:rsidR="009D0CC2" w:rsidRDefault="009D0CC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alibri"/>
    <w:charset w:val="00"/>
    <w:family w:val="swiss"/>
    <w:pitch w:val="variable"/>
    <w:sig w:usb0="00000287" w:usb1="00000000" w:usb2="00000000" w:usb3="00000000" w:csb0="0000009F" w:csb1="00000000"/>
  </w:font>
  <w:font w:name="Optima">
    <w:altName w:val="Calibri"/>
    <w:charset w:val="00"/>
    <w:family w:val="auto"/>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3541406"/>
      <w:docPartObj>
        <w:docPartGallery w:val="Page Numbers (Bottom of Page)"/>
        <w:docPartUnique/>
      </w:docPartObj>
    </w:sdtPr>
    <w:sdtEndPr>
      <w:rPr>
        <w:noProof/>
      </w:rPr>
    </w:sdtEndPr>
    <w:sdtContent>
      <w:p w14:paraId="239B5828" w14:textId="04C679CF" w:rsidR="00017566" w:rsidRDefault="0001756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1C8D6B" w14:textId="77777777" w:rsidR="00017566" w:rsidRDefault="000175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F792E" w14:textId="77777777" w:rsidR="009D0CC2" w:rsidRDefault="009D0CC2" w:rsidP="00A46004">
      <w:pPr>
        <w:spacing w:line="240" w:lineRule="auto"/>
      </w:pPr>
      <w:r>
        <w:separator/>
      </w:r>
    </w:p>
  </w:footnote>
  <w:footnote w:type="continuationSeparator" w:id="0">
    <w:p w14:paraId="733750DB" w14:textId="77777777" w:rsidR="009D0CC2" w:rsidRDefault="009D0CC2" w:rsidP="00A46004">
      <w:pPr>
        <w:spacing w:line="240" w:lineRule="auto"/>
      </w:pPr>
      <w:r>
        <w:continuationSeparator/>
      </w:r>
    </w:p>
  </w:footnote>
  <w:footnote w:type="continuationNotice" w:id="1">
    <w:p w14:paraId="4244BF2E" w14:textId="77777777" w:rsidR="009D0CC2" w:rsidRDefault="009D0CC2">
      <w:pPr>
        <w:spacing w:line="240" w:lineRule="auto"/>
      </w:pPr>
    </w:p>
  </w:footnote>
  <w:footnote w:id="2">
    <w:p w14:paraId="4ADBED9D" w14:textId="77777777" w:rsidR="00212C8C" w:rsidRPr="006B10C5" w:rsidRDefault="00212C8C" w:rsidP="00212C8C">
      <w:pPr>
        <w:pStyle w:val="FootnoteText"/>
        <w:rPr>
          <w:rFonts w:ascii="Century Gothic" w:hAnsi="Century Gothic"/>
          <w:i/>
          <w:iCs/>
        </w:rPr>
      </w:pPr>
      <w:r w:rsidRPr="006B10C5">
        <w:rPr>
          <w:rStyle w:val="FootnoteReference"/>
          <w:rFonts w:ascii="Century Gothic" w:hAnsi="Century Gothic"/>
          <w:i/>
          <w:iCs/>
          <w:sz w:val="18"/>
          <w:szCs w:val="18"/>
        </w:rPr>
        <w:footnoteRef/>
      </w:r>
      <w:r w:rsidRPr="006B10C5">
        <w:rPr>
          <w:rFonts w:ascii="Century Gothic" w:hAnsi="Century Gothic"/>
          <w:i/>
          <w:iCs/>
          <w:sz w:val="18"/>
          <w:szCs w:val="18"/>
        </w:rPr>
        <w:t xml:space="preserve"> </w:t>
      </w:r>
      <w:r w:rsidRPr="006B10C5">
        <w:rPr>
          <w:rFonts w:ascii="Century Gothic" w:hAnsi="Century Gothic"/>
          <w:i/>
          <w:iCs/>
          <w:sz w:val="16"/>
          <w:szCs w:val="16"/>
        </w:rPr>
        <w:t xml:space="preserve">The shared SACCO platform (SACCO central) is a proposed </w:t>
      </w:r>
      <w:r w:rsidRPr="006B10C5">
        <w:rPr>
          <w:rFonts w:ascii="Century Gothic" w:hAnsi="Century Gothic"/>
          <w:bCs/>
          <w:i/>
          <w:iCs/>
          <w:color w:val="000000"/>
          <w:sz w:val="16"/>
          <w:szCs w:val="16"/>
        </w:rPr>
        <w:t>SACCOs services model that allows the sharing of services among SACCOs such as having a common MIS, ICT infrastructure, branching operations, ATMs, central liquidity facilities, inter SACCO platform borrowing etc. FSD Kenya is providing technical support in designing this.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848D3" w14:textId="6E6F8337" w:rsidR="00F15D85" w:rsidRDefault="00F15D85" w:rsidP="00E63B99">
    <w:pPr>
      <w:pStyle w:val="Header"/>
      <w:rPr>
        <w:rFonts w:ascii="Century Gothic" w:hAnsi="Century Gothic"/>
        <w:b/>
      </w:rPr>
    </w:pPr>
    <w:bookmarkStart w:id="1" w:name="_Hlk12619421"/>
    <w:r>
      <w:rPr>
        <w:noProof/>
      </w:rPr>
      <w:drawing>
        <wp:anchor distT="0" distB="0" distL="114300" distR="114300" simplePos="0" relativeHeight="251662848" behindDoc="1" locked="0" layoutInCell="1" allowOverlap="1" wp14:anchorId="0B14C44A" wp14:editId="7EDFE560">
          <wp:simplePos x="0" y="0"/>
          <wp:positionH relativeFrom="column">
            <wp:posOffset>4400550</wp:posOffset>
          </wp:positionH>
          <wp:positionV relativeFrom="paragraph">
            <wp:posOffset>-216535</wp:posOffset>
          </wp:positionV>
          <wp:extent cx="1436370" cy="581660"/>
          <wp:effectExtent l="0" t="0" r="0" b="0"/>
          <wp:wrapNone/>
          <wp:docPr id="10"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t="13223" r="73314" b="16525"/>
                  <a:stretch>
                    <a:fillRect/>
                  </a:stretch>
                </pic:blipFill>
                <pic:spPr bwMode="auto">
                  <a:xfrm>
                    <a:off x="0" y="0"/>
                    <a:ext cx="1436370" cy="5816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3E7F26" w14:textId="77777777" w:rsidR="00F15D85" w:rsidRDefault="00F15D85" w:rsidP="00E63B99">
    <w:pPr>
      <w:pStyle w:val="Header"/>
      <w:rPr>
        <w:rFonts w:ascii="Century Gothic" w:hAnsi="Century Gothic"/>
        <w:b/>
      </w:rPr>
    </w:pPr>
  </w:p>
  <w:p w14:paraId="74A0ACFE" w14:textId="462FCFCD" w:rsidR="00A46004" w:rsidRPr="00AB659C" w:rsidRDefault="00721AE8" w:rsidP="00E63B99">
    <w:pPr>
      <w:pStyle w:val="Header"/>
      <w:rPr>
        <w:rFonts w:ascii="Century Gothic" w:hAnsi="Century Gothic"/>
        <w:b/>
        <w:sz w:val="24"/>
        <w:szCs w:val="24"/>
      </w:rPr>
    </w:pPr>
    <w:r>
      <w:rPr>
        <w:rFonts w:ascii="Century Gothic" w:hAnsi="Century Gothic"/>
        <w:b/>
        <w:sz w:val="24"/>
        <w:szCs w:val="24"/>
      </w:rPr>
      <w:t>DIGITAL FINANCE RESEARCH SPECIALIST</w:t>
    </w:r>
    <w:r w:rsidR="00A46004" w:rsidRPr="00AB659C">
      <w:rPr>
        <w:rFonts w:ascii="Century Gothic" w:hAnsi="Century Gothic"/>
        <w:b/>
        <w:sz w:val="24"/>
        <w:szCs w:val="24"/>
      </w:rPr>
      <w:t xml:space="preserve"> TERMS OF REFERENCE</w:t>
    </w:r>
  </w:p>
  <w:bookmarkEnd w:id="1"/>
  <w:p w14:paraId="53198475" w14:textId="77777777" w:rsidR="00A46004" w:rsidRPr="00A46004" w:rsidRDefault="00A46004" w:rsidP="00A46004">
    <w:pPr>
      <w:pStyle w:val="Header"/>
      <w:pBdr>
        <w:top w:val="single" w:sz="4" w:space="1" w:color="auto"/>
        <w:between w:val="single" w:sz="4" w:space="1" w:color="auto"/>
      </w:pBdr>
      <w:rPr>
        <w:rFonts w:ascii="Optima" w:hAnsi="Optima"/>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BB731E"/>
    <w:multiLevelType w:val="hybridMultilevel"/>
    <w:tmpl w:val="655CD538"/>
    <w:lvl w:ilvl="0" w:tplc="0809001B">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330D2C20"/>
    <w:multiLevelType w:val="hybridMultilevel"/>
    <w:tmpl w:val="FFFAE8D6"/>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3E04E28"/>
    <w:multiLevelType w:val="multilevel"/>
    <w:tmpl w:val="20000025"/>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hint="default"/>
        <w:b/>
        <w:bCs/>
        <w:color w:val="auto"/>
        <w:sz w:val="22"/>
        <w:szCs w:val="22"/>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A2D7115"/>
    <w:multiLevelType w:val="hybridMultilevel"/>
    <w:tmpl w:val="0572391C"/>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CFC73D5"/>
    <w:multiLevelType w:val="hybridMultilevel"/>
    <w:tmpl w:val="A43AC6F4"/>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0043349"/>
    <w:multiLevelType w:val="hybridMultilevel"/>
    <w:tmpl w:val="C57239C4"/>
    <w:lvl w:ilvl="0" w:tplc="04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60E57687"/>
    <w:multiLevelType w:val="hybridMultilevel"/>
    <w:tmpl w:val="E1CE1CF0"/>
    <w:lvl w:ilvl="0" w:tplc="3A0E8416">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CC1964"/>
    <w:multiLevelType w:val="hybridMultilevel"/>
    <w:tmpl w:val="69C2CD60"/>
    <w:lvl w:ilvl="0" w:tplc="A8B01744">
      <w:start w:val="1"/>
      <w:numFmt w:val="lowerRoman"/>
      <w:lvlText w:val="%1."/>
      <w:lvlJc w:val="righ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BC357DB"/>
    <w:multiLevelType w:val="hybridMultilevel"/>
    <w:tmpl w:val="896A18BA"/>
    <w:lvl w:ilvl="0" w:tplc="04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6FA60608"/>
    <w:multiLevelType w:val="hybridMultilevel"/>
    <w:tmpl w:val="A5D44AD0"/>
    <w:lvl w:ilvl="0" w:tplc="953E0F0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73CD47CC"/>
    <w:multiLevelType w:val="hybridMultilevel"/>
    <w:tmpl w:val="F9DCFFE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41D53C6"/>
    <w:multiLevelType w:val="multilevel"/>
    <w:tmpl w:val="75EE98D8"/>
    <w:lvl w:ilvl="0">
      <w:start w:val="1"/>
      <w:numFmt w:val="decimal"/>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76810179"/>
    <w:multiLevelType w:val="hybridMultilevel"/>
    <w:tmpl w:val="DA4C3710"/>
    <w:lvl w:ilvl="0" w:tplc="8D3CE08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6321791">
    <w:abstractNumId w:val="1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0477341">
    <w:abstractNumId w:val="11"/>
  </w:num>
  <w:num w:numId="3" w16cid:durableId="1497308313">
    <w:abstractNumId w:val="2"/>
  </w:num>
  <w:num w:numId="4" w16cid:durableId="310644762">
    <w:abstractNumId w:val="10"/>
  </w:num>
  <w:num w:numId="5" w16cid:durableId="1659846165">
    <w:abstractNumId w:val="3"/>
  </w:num>
  <w:num w:numId="6" w16cid:durableId="1675572426">
    <w:abstractNumId w:val="1"/>
  </w:num>
  <w:num w:numId="7" w16cid:durableId="1706443945">
    <w:abstractNumId w:val="9"/>
  </w:num>
  <w:num w:numId="8" w16cid:durableId="1518732101">
    <w:abstractNumId w:val="5"/>
  </w:num>
  <w:num w:numId="9" w16cid:durableId="371880674">
    <w:abstractNumId w:val="0"/>
  </w:num>
  <w:num w:numId="10" w16cid:durableId="486288791">
    <w:abstractNumId w:val="7"/>
  </w:num>
  <w:num w:numId="11" w16cid:durableId="626277325">
    <w:abstractNumId w:val="8"/>
  </w:num>
  <w:num w:numId="12" w16cid:durableId="1932158627">
    <w:abstractNumId w:val="12"/>
  </w:num>
  <w:num w:numId="13" w16cid:durableId="1380589716">
    <w:abstractNumId w:val="4"/>
  </w:num>
  <w:num w:numId="14" w16cid:durableId="2125348545">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303"/>
    <w:rsid w:val="00000C64"/>
    <w:rsid w:val="000017EA"/>
    <w:rsid w:val="0000286D"/>
    <w:rsid w:val="00005CF2"/>
    <w:rsid w:val="00011ADC"/>
    <w:rsid w:val="0001375A"/>
    <w:rsid w:val="00013842"/>
    <w:rsid w:val="00013ADF"/>
    <w:rsid w:val="00014EAA"/>
    <w:rsid w:val="00017566"/>
    <w:rsid w:val="0002095F"/>
    <w:rsid w:val="0002172B"/>
    <w:rsid w:val="00022316"/>
    <w:rsid w:val="000225E7"/>
    <w:rsid w:val="00022887"/>
    <w:rsid w:val="000263BB"/>
    <w:rsid w:val="000301D8"/>
    <w:rsid w:val="000309C8"/>
    <w:rsid w:val="00030CB4"/>
    <w:rsid w:val="00033349"/>
    <w:rsid w:val="0003476F"/>
    <w:rsid w:val="000354A5"/>
    <w:rsid w:val="00035B11"/>
    <w:rsid w:val="00037DEB"/>
    <w:rsid w:val="00041687"/>
    <w:rsid w:val="0004336F"/>
    <w:rsid w:val="00044542"/>
    <w:rsid w:val="0004746C"/>
    <w:rsid w:val="00050C3F"/>
    <w:rsid w:val="00050EA0"/>
    <w:rsid w:val="000524A6"/>
    <w:rsid w:val="00056022"/>
    <w:rsid w:val="00062E50"/>
    <w:rsid w:val="00063CF5"/>
    <w:rsid w:val="000660BD"/>
    <w:rsid w:val="00066DBC"/>
    <w:rsid w:val="00070EA7"/>
    <w:rsid w:val="00073539"/>
    <w:rsid w:val="000748F1"/>
    <w:rsid w:val="0008341B"/>
    <w:rsid w:val="0008585E"/>
    <w:rsid w:val="000858A2"/>
    <w:rsid w:val="000929EA"/>
    <w:rsid w:val="000A213D"/>
    <w:rsid w:val="000A2440"/>
    <w:rsid w:val="000B1BA8"/>
    <w:rsid w:val="000B7FEB"/>
    <w:rsid w:val="000C061B"/>
    <w:rsid w:val="000C0CC6"/>
    <w:rsid w:val="000C28D5"/>
    <w:rsid w:val="000C3226"/>
    <w:rsid w:val="000D1E76"/>
    <w:rsid w:val="000D4A56"/>
    <w:rsid w:val="000D62CB"/>
    <w:rsid w:val="000E4E19"/>
    <w:rsid w:val="000E4EFA"/>
    <w:rsid w:val="000E78EA"/>
    <w:rsid w:val="000E7C53"/>
    <w:rsid w:val="000F244B"/>
    <w:rsid w:val="000F562B"/>
    <w:rsid w:val="000F586A"/>
    <w:rsid w:val="000F5F9C"/>
    <w:rsid w:val="00100E52"/>
    <w:rsid w:val="00101600"/>
    <w:rsid w:val="00104C00"/>
    <w:rsid w:val="00110888"/>
    <w:rsid w:val="00110939"/>
    <w:rsid w:val="00111F02"/>
    <w:rsid w:val="0011343B"/>
    <w:rsid w:val="001154EE"/>
    <w:rsid w:val="001158C9"/>
    <w:rsid w:val="00116AD5"/>
    <w:rsid w:val="0011778A"/>
    <w:rsid w:val="00121557"/>
    <w:rsid w:val="00121E92"/>
    <w:rsid w:val="00123B0F"/>
    <w:rsid w:val="00123CA0"/>
    <w:rsid w:val="001242C4"/>
    <w:rsid w:val="001248E0"/>
    <w:rsid w:val="001249FE"/>
    <w:rsid w:val="00125226"/>
    <w:rsid w:val="00130C67"/>
    <w:rsid w:val="001313C5"/>
    <w:rsid w:val="00133311"/>
    <w:rsid w:val="001410FC"/>
    <w:rsid w:val="00142153"/>
    <w:rsid w:val="00144AEB"/>
    <w:rsid w:val="00145C0E"/>
    <w:rsid w:val="001468C8"/>
    <w:rsid w:val="00147C24"/>
    <w:rsid w:val="00154DE2"/>
    <w:rsid w:val="00155357"/>
    <w:rsid w:val="00162DD4"/>
    <w:rsid w:val="00166A60"/>
    <w:rsid w:val="001725FE"/>
    <w:rsid w:val="00173614"/>
    <w:rsid w:val="001739B5"/>
    <w:rsid w:val="00174B30"/>
    <w:rsid w:val="0017741B"/>
    <w:rsid w:val="001806F8"/>
    <w:rsid w:val="00180860"/>
    <w:rsid w:val="00180CC8"/>
    <w:rsid w:val="001811A7"/>
    <w:rsid w:val="001846E4"/>
    <w:rsid w:val="00184DDF"/>
    <w:rsid w:val="00187695"/>
    <w:rsid w:val="00187ED3"/>
    <w:rsid w:val="00194188"/>
    <w:rsid w:val="001A009E"/>
    <w:rsid w:val="001A21EC"/>
    <w:rsid w:val="001A2621"/>
    <w:rsid w:val="001A4478"/>
    <w:rsid w:val="001A6CB8"/>
    <w:rsid w:val="001B01D5"/>
    <w:rsid w:val="001B165F"/>
    <w:rsid w:val="001B4260"/>
    <w:rsid w:val="001B4293"/>
    <w:rsid w:val="001B482A"/>
    <w:rsid w:val="001B53D3"/>
    <w:rsid w:val="001B5B1D"/>
    <w:rsid w:val="001B68BE"/>
    <w:rsid w:val="001C01F4"/>
    <w:rsid w:val="001C327E"/>
    <w:rsid w:val="001C4E02"/>
    <w:rsid w:val="001C4EB9"/>
    <w:rsid w:val="001C5477"/>
    <w:rsid w:val="001D132F"/>
    <w:rsid w:val="001D1599"/>
    <w:rsid w:val="001D1637"/>
    <w:rsid w:val="001D33C0"/>
    <w:rsid w:val="001D3A35"/>
    <w:rsid w:val="001E1B9E"/>
    <w:rsid w:val="001E3686"/>
    <w:rsid w:val="001E78E9"/>
    <w:rsid w:val="001EB1AA"/>
    <w:rsid w:val="001F02C4"/>
    <w:rsid w:val="001F106F"/>
    <w:rsid w:val="001F5364"/>
    <w:rsid w:val="001F7A63"/>
    <w:rsid w:val="00201045"/>
    <w:rsid w:val="00206381"/>
    <w:rsid w:val="00206557"/>
    <w:rsid w:val="00206645"/>
    <w:rsid w:val="00212C8C"/>
    <w:rsid w:val="002201D5"/>
    <w:rsid w:val="00220CC2"/>
    <w:rsid w:val="0022102B"/>
    <w:rsid w:val="00223115"/>
    <w:rsid w:val="0022527F"/>
    <w:rsid w:val="002263B2"/>
    <w:rsid w:val="0023535F"/>
    <w:rsid w:val="0023598F"/>
    <w:rsid w:val="002364F7"/>
    <w:rsid w:val="00240EE9"/>
    <w:rsid w:val="00241F33"/>
    <w:rsid w:val="00252337"/>
    <w:rsid w:val="0025259F"/>
    <w:rsid w:val="00252D49"/>
    <w:rsid w:val="00255726"/>
    <w:rsid w:val="00261C9E"/>
    <w:rsid w:val="0026312D"/>
    <w:rsid w:val="00263B25"/>
    <w:rsid w:val="00263C42"/>
    <w:rsid w:val="0026521D"/>
    <w:rsid w:val="00266E50"/>
    <w:rsid w:val="0028263C"/>
    <w:rsid w:val="002901F2"/>
    <w:rsid w:val="00290B34"/>
    <w:rsid w:val="00291633"/>
    <w:rsid w:val="002979D7"/>
    <w:rsid w:val="002A0D72"/>
    <w:rsid w:val="002A2137"/>
    <w:rsid w:val="002A3F54"/>
    <w:rsid w:val="002A52E1"/>
    <w:rsid w:val="002B02FF"/>
    <w:rsid w:val="002B0EE0"/>
    <w:rsid w:val="002B2450"/>
    <w:rsid w:val="002B35F7"/>
    <w:rsid w:val="002C5BCC"/>
    <w:rsid w:val="002D1CB0"/>
    <w:rsid w:val="002D33F1"/>
    <w:rsid w:val="002D56F4"/>
    <w:rsid w:val="002D6772"/>
    <w:rsid w:val="002D72D2"/>
    <w:rsid w:val="002E5F00"/>
    <w:rsid w:val="002E7032"/>
    <w:rsid w:val="002E791B"/>
    <w:rsid w:val="002E7FA9"/>
    <w:rsid w:val="002F0E4D"/>
    <w:rsid w:val="002F45ED"/>
    <w:rsid w:val="002F6ACD"/>
    <w:rsid w:val="002F79B2"/>
    <w:rsid w:val="002F7E5C"/>
    <w:rsid w:val="003018CC"/>
    <w:rsid w:val="00302BF8"/>
    <w:rsid w:val="00303262"/>
    <w:rsid w:val="0030396E"/>
    <w:rsid w:val="00306710"/>
    <w:rsid w:val="003068CB"/>
    <w:rsid w:val="00313133"/>
    <w:rsid w:val="003138A5"/>
    <w:rsid w:val="00313AE5"/>
    <w:rsid w:val="00313F24"/>
    <w:rsid w:val="00317540"/>
    <w:rsid w:val="003201C8"/>
    <w:rsid w:val="003217BA"/>
    <w:rsid w:val="0033035F"/>
    <w:rsid w:val="0033099F"/>
    <w:rsid w:val="00331789"/>
    <w:rsid w:val="003409A9"/>
    <w:rsid w:val="00342A4B"/>
    <w:rsid w:val="00343B95"/>
    <w:rsid w:val="00344399"/>
    <w:rsid w:val="00354515"/>
    <w:rsid w:val="00360869"/>
    <w:rsid w:val="0036142C"/>
    <w:rsid w:val="00364FFA"/>
    <w:rsid w:val="00365204"/>
    <w:rsid w:val="00365664"/>
    <w:rsid w:val="00365A8E"/>
    <w:rsid w:val="00366F48"/>
    <w:rsid w:val="00367E6C"/>
    <w:rsid w:val="0037067E"/>
    <w:rsid w:val="00372922"/>
    <w:rsid w:val="00373ED1"/>
    <w:rsid w:val="003749FF"/>
    <w:rsid w:val="00374EC9"/>
    <w:rsid w:val="003753C6"/>
    <w:rsid w:val="00376213"/>
    <w:rsid w:val="00377681"/>
    <w:rsid w:val="00380177"/>
    <w:rsid w:val="003818DD"/>
    <w:rsid w:val="003819AE"/>
    <w:rsid w:val="00387C57"/>
    <w:rsid w:val="003915FD"/>
    <w:rsid w:val="00392172"/>
    <w:rsid w:val="003926D1"/>
    <w:rsid w:val="00392DB1"/>
    <w:rsid w:val="00392EFB"/>
    <w:rsid w:val="003975D8"/>
    <w:rsid w:val="003A205C"/>
    <w:rsid w:val="003B226F"/>
    <w:rsid w:val="003B7014"/>
    <w:rsid w:val="003B70D1"/>
    <w:rsid w:val="003B7528"/>
    <w:rsid w:val="003B7641"/>
    <w:rsid w:val="003C48E5"/>
    <w:rsid w:val="003C5A7C"/>
    <w:rsid w:val="003D1764"/>
    <w:rsid w:val="003D352D"/>
    <w:rsid w:val="003D42D6"/>
    <w:rsid w:val="003D4989"/>
    <w:rsid w:val="003D597B"/>
    <w:rsid w:val="003D64F5"/>
    <w:rsid w:val="003E0B9B"/>
    <w:rsid w:val="003E252C"/>
    <w:rsid w:val="003E2738"/>
    <w:rsid w:val="003E5B43"/>
    <w:rsid w:val="003F3ECE"/>
    <w:rsid w:val="003F4EE3"/>
    <w:rsid w:val="003F52A6"/>
    <w:rsid w:val="003F599A"/>
    <w:rsid w:val="003F6165"/>
    <w:rsid w:val="00401A78"/>
    <w:rsid w:val="00403A28"/>
    <w:rsid w:val="00404432"/>
    <w:rsid w:val="00407549"/>
    <w:rsid w:val="004112A9"/>
    <w:rsid w:val="004140AD"/>
    <w:rsid w:val="004152CA"/>
    <w:rsid w:val="00417F55"/>
    <w:rsid w:val="00422BD2"/>
    <w:rsid w:val="0042409E"/>
    <w:rsid w:val="0042527F"/>
    <w:rsid w:val="004265AE"/>
    <w:rsid w:val="0043108A"/>
    <w:rsid w:val="00437DB2"/>
    <w:rsid w:val="00437F2F"/>
    <w:rsid w:val="00441C73"/>
    <w:rsid w:val="004423A1"/>
    <w:rsid w:val="00442C19"/>
    <w:rsid w:val="004453ED"/>
    <w:rsid w:val="004477D3"/>
    <w:rsid w:val="00455F21"/>
    <w:rsid w:val="00456495"/>
    <w:rsid w:val="00457CAB"/>
    <w:rsid w:val="00457D5F"/>
    <w:rsid w:val="00464554"/>
    <w:rsid w:val="00467375"/>
    <w:rsid w:val="0047115B"/>
    <w:rsid w:val="004804EC"/>
    <w:rsid w:val="004841F2"/>
    <w:rsid w:val="00484F28"/>
    <w:rsid w:val="00492160"/>
    <w:rsid w:val="00493F0D"/>
    <w:rsid w:val="0049493B"/>
    <w:rsid w:val="0049712D"/>
    <w:rsid w:val="004A0F8C"/>
    <w:rsid w:val="004A6014"/>
    <w:rsid w:val="004A6DFD"/>
    <w:rsid w:val="004B0327"/>
    <w:rsid w:val="004B0370"/>
    <w:rsid w:val="004B3293"/>
    <w:rsid w:val="004B3FF0"/>
    <w:rsid w:val="004B401A"/>
    <w:rsid w:val="004B4EE0"/>
    <w:rsid w:val="004B50A9"/>
    <w:rsid w:val="004C3D50"/>
    <w:rsid w:val="004C4399"/>
    <w:rsid w:val="004C4A66"/>
    <w:rsid w:val="004C5908"/>
    <w:rsid w:val="004C7E12"/>
    <w:rsid w:val="004D31DF"/>
    <w:rsid w:val="004D72E0"/>
    <w:rsid w:val="004D7365"/>
    <w:rsid w:val="004E0051"/>
    <w:rsid w:val="004E234E"/>
    <w:rsid w:val="004E4082"/>
    <w:rsid w:val="004E4890"/>
    <w:rsid w:val="004F1624"/>
    <w:rsid w:val="004F6310"/>
    <w:rsid w:val="004F74D5"/>
    <w:rsid w:val="00500F10"/>
    <w:rsid w:val="00504FF8"/>
    <w:rsid w:val="00505A87"/>
    <w:rsid w:val="00505BCF"/>
    <w:rsid w:val="00507CD5"/>
    <w:rsid w:val="0051207A"/>
    <w:rsid w:val="005121FF"/>
    <w:rsid w:val="00515C4D"/>
    <w:rsid w:val="00515F10"/>
    <w:rsid w:val="00522BC9"/>
    <w:rsid w:val="00525779"/>
    <w:rsid w:val="00531220"/>
    <w:rsid w:val="005336A2"/>
    <w:rsid w:val="00545A10"/>
    <w:rsid w:val="0054631D"/>
    <w:rsid w:val="00547AC1"/>
    <w:rsid w:val="00551AFA"/>
    <w:rsid w:val="00556964"/>
    <w:rsid w:val="00556D8F"/>
    <w:rsid w:val="0055718E"/>
    <w:rsid w:val="00560A94"/>
    <w:rsid w:val="00563DD7"/>
    <w:rsid w:val="00564A45"/>
    <w:rsid w:val="005675DE"/>
    <w:rsid w:val="0057082D"/>
    <w:rsid w:val="00570F71"/>
    <w:rsid w:val="00574E05"/>
    <w:rsid w:val="0058082D"/>
    <w:rsid w:val="0058141D"/>
    <w:rsid w:val="0058354B"/>
    <w:rsid w:val="00585663"/>
    <w:rsid w:val="00590F01"/>
    <w:rsid w:val="00591489"/>
    <w:rsid w:val="00591EFF"/>
    <w:rsid w:val="005934A3"/>
    <w:rsid w:val="005964D0"/>
    <w:rsid w:val="005A032D"/>
    <w:rsid w:val="005A1B48"/>
    <w:rsid w:val="005A3E0D"/>
    <w:rsid w:val="005A5301"/>
    <w:rsid w:val="005A7272"/>
    <w:rsid w:val="005B3F42"/>
    <w:rsid w:val="005B62D1"/>
    <w:rsid w:val="005B7CA2"/>
    <w:rsid w:val="005C06EA"/>
    <w:rsid w:val="005D1E3E"/>
    <w:rsid w:val="005D41A8"/>
    <w:rsid w:val="005D6364"/>
    <w:rsid w:val="005E04FA"/>
    <w:rsid w:val="005E1576"/>
    <w:rsid w:val="005E2079"/>
    <w:rsid w:val="005E23CE"/>
    <w:rsid w:val="005E3AC9"/>
    <w:rsid w:val="005E5547"/>
    <w:rsid w:val="005E7841"/>
    <w:rsid w:val="005E7D06"/>
    <w:rsid w:val="005F224F"/>
    <w:rsid w:val="005F36F2"/>
    <w:rsid w:val="005F3B32"/>
    <w:rsid w:val="005F3D40"/>
    <w:rsid w:val="005F7BE4"/>
    <w:rsid w:val="006006DA"/>
    <w:rsid w:val="00604AAF"/>
    <w:rsid w:val="00605021"/>
    <w:rsid w:val="00610CF6"/>
    <w:rsid w:val="00611BA7"/>
    <w:rsid w:val="00622728"/>
    <w:rsid w:val="0062535A"/>
    <w:rsid w:val="00627303"/>
    <w:rsid w:val="00632012"/>
    <w:rsid w:val="00632E44"/>
    <w:rsid w:val="006418E7"/>
    <w:rsid w:val="0064247E"/>
    <w:rsid w:val="006424D9"/>
    <w:rsid w:val="006520A3"/>
    <w:rsid w:val="00652458"/>
    <w:rsid w:val="00652FBA"/>
    <w:rsid w:val="00653A8A"/>
    <w:rsid w:val="00657A35"/>
    <w:rsid w:val="00667CB6"/>
    <w:rsid w:val="00673AB4"/>
    <w:rsid w:val="00675107"/>
    <w:rsid w:val="00675143"/>
    <w:rsid w:val="0067661C"/>
    <w:rsid w:val="00682F40"/>
    <w:rsid w:val="00684F15"/>
    <w:rsid w:val="0068561C"/>
    <w:rsid w:val="00685BC0"/>
    <w:rsid w:val="006861CB"/>
    <w:rsid w:val="00686A81"/>
    <w:rsid w:val="00687418"/>
    <w:rsid w:val="006903A6"/>
    <w:rsid w:val="0069227D"/>
    <w:rsid w:val="00693D96"/>
    <w:rsid w:val="00695797"/>
    <w:rsid w:val="00696434"/>
    <w:rsid w:val="006A0C64"/>
    <w:rsid w:val="006A1C92"/>
    <w:rsid w:val="006A2BF6"/>
    <w:rsid w:val="006B126A"/>
    <w:rsid w:val="006B31BB"/>
    <w:rsid w:val="006B6EDD"/>
    <w:rsid w:val="006B75D7"/>
    <w:rsid w:val="006C1357"/>
    <w:rsid w:val="006C4175"/>
    <w:rsid w:val="006C4DF7"/>
    <w:rsid w:val="006D005D"/>
    <w:rsid w:val="006D04C4"/>
    <w:rsid w:val="006D1239"/>
    <w:rsid w:val="006D2ABF"/>
    <w:rsid w:val="006D67E8"/>
    <w:rsid w:val="006E46B1"/>
    <w:rsid w:val="006E4A20"/>
    <w:rsid w:val="006E6834"/>
    <w:rsid w:val="006F114A"/>
    <w:rsid w:val="006F364D"/>
    <w:rsid w:val="006F54A1"/>
    <w:rsid w:val="006F6BF1"/>
    <w:rsid w:val="00700D61"/>
    <w:rsid w:val="0070136D"/>
    <w:rsid w:val="00701B0F"/>
    <w:rsid w:val="00703D68"/>
    <w:rsid w:val="007100C0"/>
    <w:rsid w:val="00711F4B"/>
    <w:rsid w:val="00712C3F"/>
    <w:rsid w:val="00714797"/>
    <w:rsid w:val="00714B14"/>
    <w:rsid w:val="00720382"/>
    <w:rsid w:val="00720CEB"/>
    <w:rsid w:val="00721AE8"/>
    <w:rsid w:val="00724BBF"/>
    <w:rsid w:val="00725E90"/>
    <w:rsid w:val="00726B1B"/>
    <w:rsid w:val="00727227"/>
    <w:rsid w:val="0072730A"/>
    <w:rsid w:val="00730FFA"/>
    <w:rsid w:val="00732634"/>
    <w:rsid w:val="0073460C"/>
    <w:rsid w:val="0073466F"/>
    <w:rsid w:val="0074603C"/>
    <w:rsid w:val="0075104B"/>
    <w:rsid w:val="0075114B"/>
    <w:rsid w:val="007516DA"/>
    <w:rsid w:val="00751DFB"/>
    <w:rsid w:val="00754EB5"/>
    <w:rsid w:val="0076045F"/>
    <w:rsid w:val="007632BF"/>
    <w:rsid w:val="007641E6"/>
    <w:rsid w:val="00765E13"/>
    <w:rsid w:val="0077394B"/>
    <w:rsid w:val="0077395B"/>
    <w:rsid w:val="00776320"/>
    <w:rsid w:val="00776909"/>
    <w:rsid w:val="007771D0"/>
    <w:rsid w:val="007854A4"/>
    <w:rsid w:val="007854D5"/>
    <w:rsid w:val="007860F0"/>
    <w:rsid w:val="007901BB"/>
    <w:rsid w:val="00791F34"/>
    <w:rsid w:val="007921F6"/>
    <w:rsid w:val="007951EF"/>
    <w:rsid w:val="00796019"/>
    <w:rsid w:val="00796603"/>
    <w:rsid w:val="0079714E"/>
    <w:rsid w:val="007A568B"/>
    <w:rsid w:val="007B45CA"/>
    <w:rsid w:val="007B4A53"/>
    <w:rsid w:val="007B4C5E"/>
    <w:rsid w:val="007B6C6E"/>
    <w:rsid w:val="007C0680"/>
    <w:rsid w:val="007C3A26"/>
    <w:rsid w:val="007C6D14"/>
    <w:rsid w:val="007C7EB3"/>
    <w:rsid w:val="007D198C"/>
    <w:rsid w:val="007D29A6"/>
    <w:rsid w:val="007D32F2"/>
    <w:rsid w:val="007D41E6"/>
    <w:rsid w:val="007D4A49"/>
    <w:rsid w:val="007E388A"/>
    <w:rsid w:val="007E7AE1"/>
    <w:rsid w:val="007F0882"/>
    <w:rsid w:val="007F487D"/>
    <w:rsid w:val="007F558C"/>
    <w:rsid w:val="007F5965"/>
    <w:rsid w:val="00800573"/>
    <w:rsid w:val="00800DA4"/>
    <w:rsid w:val="00800E97"/>
    <w:rsid w:val="00815013"/>
    <w:rsid w:val="00816C3D"/>
    <w:rsid w:val="008243EF"/>
    <w:rsid w:val="0082635E"/>
    <w:rsid w:val="008269B7"/>
    <w:rsid w:val="00831846"/>
    <w:rsid w:val="00831D58"/>
    <w:rsid w:val="008327B1"/>
    <w:rsid w:val="00833011"/>
    <w:rsid w:val="00833AC7"/>
    <w:rsid w:val="0083433D"/>
    <w:rsid w:val="0083560C"/>
    <w:rsid w:val="0083673E"/>
    <w:rsid w:val="00837202"/>
    <w:rsid w:val="0083742A"/>
    <w:rsid w:val="00840082"/>
    <w:rsid w:val="0084102A"/>
    <w:rsid w:val="0084301D"/>
    <w:rsid w:val="008438CE"/>
    <w:rsid w:val="008467EA"/>
    <w:rsid w:val="00846BF8"/>
    <w:rsid w:val="00850010"/>
    <w:rsid w:val="0085207F"/>
    <w:rsid w:val="00852358"/>
    <w:rsid w:val="00853A32"/>
    <w:rsid w:val="00853F5B"/>
    <w:rsid w:val="00854F86"/>
    <w:rsid w:val="00866BCA"/>
    <w:rsid w:val="0087363E"/>
    <w:rsid w:val="00873A89"/>
    <w:rsid w:val="00874CBC"/>
    <w:rsid w:val="00875B9E"/>
    <w:rsid w:val="0087729F"/>
    <w:rsid w:val="00882037"/>
    <w:rsid w:val="008846BD"/>
    <w:rsid w:val="008859F7"/>
    <w:rsid w:val="00885A27"/>
    <w:rsid w:val="00885D7D"/>
    <w:rsid w:val="00890B78"/>
    <w:rsid w:val="00892594"/>
    <w:rsid w:val="00893556"/>
    <w:rsid w:val="00893AA2"/>
    <w:rsid w:val="00896FBC"/>
    <w:rsid w:val="008A06ED"/>
    <w:rsid w:val="008A1C17"/>
    <w:rsid w:val="008A536F"/>
    <w:rsid w:val="008B2466"/>
    <w:rsid w:val="008B3B65"/>
    <w:rsid w:val="008B569F"/>
    <w:rsid w:val="008B5B28"/>
    <w:rsid w:val="008B7CB0"/>
    <w:rsid w:val="008C0462"/>
    <w:rsid w:val="008C26DA"/>
    <w:rsid w:val="008C270C"/>
    <w:rsid w:val="008C4112"/>
    <w:rsid w:val="008C581B"/>
    <w:rsid w:val="008D2466"/>
    <w:rsid w:val="008D29F8"/>
    <w:rsid w:val="008D698E"/>
    <w:rsid w:val="008E6A7B"/>
    <w:rsid w:val="008E7C71"/>
    <w:rsid w:val="008F2AF0"/>
    <w:rsid w:val="008F4F2C"/>
    <w:rsid w:val="008F670D"/>
    <w:rsid w:val="008F6B88"/>
    <w:rsid w:val="00900071"/>
    <w:rsid w:val="00904A98"/>
    <w:rsid w:val="00905FC7"/>
    <w:rsid w:val="0090639F"/>
    <w:rsid w:val="00907573"/>
    <w:rsid w:val="00911735"/>
    <w:rsid w:val="00913717"/>
    <w:rsid w:val="00915097"/>
    <w:rsid w:val="00916BB9"/>
    <w:rsid w:val="00916D19"/>
    <w:rsid w:val="00917532"/>
    <w:rsid w:val="009204E2"/>
    <w:rsid w:val="00920E55"/>
    <w:rsid w:val="00921C83"/>
    <w:rsid w:val="00922C9B"/>
    <w:rsid w:val="009248E0"/>
    <w:rsid w:val="00924B7D"/>
    <w:rsid w:val="00926514"/>
    <w:rsid w:val="009329AD"/>
    <w:rsid w:val="00933D80"/>
    <w:rsid w:val="00934511"/>
    <w:rsid w:val="00940076"/>
    <w:rsid w:val="0094199D"/>
    <w:rsid w:val="00944FC3"/>
    <w:rsid w:val="00963262"/>
    <w:rsid w:val="00963890"/>
    <w:rsid w:val="0096528D"/>
    <w:rsid w:val="00965BD5"/>
    <w:rsid w:val="00970908"/>
    <w:rsid w:val="00971108"/>
    <w:rsid w:val="009721CB"/>
    <w:rsid w:val="009728CD"/>
    <w:rsid w:val="00973811"/>
    <w:rsid w:val="009873F0"/>
    <w:rsid w:val="00987782"/>
    <w:rsid w:val="00993B24"/>
    <w:rsid w:val="00994930"/>
    <w:rsid w:val="00996E2E"/>
    <w:rsid w:val="009976C0"/>
    <w:rsid w:val="009A08BF"/>
    <w:rsid w:val="009A4FC6"/>
    <w:rsid w:val="009A4FD2"/>
    <w:rsid w:val="009A51A9"/>
    <w:rsid w:val="009A62BB"/>
    <w:rsid w:val="009A662D"/>
    <w:rsid w:val="009A689F"/>
    <w:rsid w:val="009B1043"/>
    <w:rsid w:val="009B1268"/>
    <w:rsid w:val="009B1655"/>
    <w:rsid w:val="009B6A4B"/>
    <w:rsid w:val="009C30B8"/>
    <w:rsid w:val="009C3523"/>
    <w:rsid w:val="009C45EA"/>
    <w:rsid w:val="009D09C9"/>
    <w:rsid w:val="009D0CC2"/>
    <w:rsid w:val="009D4866"/>
    <w:rsid w:val="009D4F17"/>
    <w:rsid w:val="009D568C"/>
    <w:rsid w:val="009D5AA5"/>
    <w:rsid w:val="009D5F08"/>
    <w:rsid w:val="009E0739"/>
    <w:rsid w:val="009E1CE3"/>
    <w:rsid w:val="009E55D6"/>
    <w:rsid w:val="009E6367"/>
    <w:rsid w:val="009F2AFD"/>
    <w:rsid w:val="009F652C"/>
    <w:rsid w:val="00A04EA0"/>
    <w:rsid w:val="00A05B91"/>
    <w:rsid w:val="00A1449D"/>
    <w:rsid w:val="00A14F8E"/>
    <w:rsid w:val="00A16443"/>
    <w:rsid w:val="00A2119C"/>
    <w:rsid w:val="00A23F05"/>
    <w:rsid w:val="00A27DF5"/>
    <w:rsid w:val="00A303E8"/>
    <w:rsid w:val="00A30E59"/>
    <w:rsid w:val="00A32C80"/>
    <w:rsid w:val="00A36ED1"/>
    <w:rsid w:val="00A374ED"/>
    <w:rsid w:val="00A409A0"/>
    <w:rsid w:val="00A443B3"/>
    <w:rsid w:val="00A45749"/>
    <w:rsid w:val="00A46004"/>
    <w:rsid w:val="00A507CC"/>
    <w:rsid w:val="00A50EB5"/>
    <w:rsid w:val="00A54658"/>
    <w:rsid w:val="00A55945"/>
    <w:rsid w:val="00A63808"/>
    <w:rsid w:val="00A63906"/>
    <w:rsid w:val="00A67C21"/>
    <w:rsid w:val="00A710C5"/>
    <w:rsid w:val="00A71853"/>
    <w:rsid w:val="00A725D8"/>
    <w:rsid w:val="00A73A38"/>
    <w:rsid w:val="00A756EE"/>
    <w:rsid w:val="00A81AB5"/>
    <w:rsid w:val="00A81DB8"/>
    <w:rsid w:val="00A82387"/>
    <w:rsid w:val="00A84231"/>
    <w:rsid w:val="00A864B9"/>
    <w:rsid w:val="00A93F5F"/>
    <w:rsid w:val="00A946E3"/>
    <w:rsid w:val="00A97291"/>
    <w:rsid w:val="00AA0225"/>
    <w:rsid w:val="00AA0A75"/>
    <w:rsid w:val="00AA238C"/>
    <w:rsid w:val="00AA366D"/>
    <w:rsid w:val="00AA3BEE"/>
    <w:rsid w:val="00AA44E9"/>
    <w:rsid w:val="00AA49E1"/>
    <w:rsid w:val="00AA4FDE"/>
    <w:rsid w:val="00AA5489"/>
    <w:rsid w:val="00AA5580"/>
    <w:rsid w:val="00AB0CFB"/>
    <w:rsid w:val="00AB252E"/>
    <w:rsid w:val="00AB28A8"/>
    <w:rsid w:val="00AB4ECE"/>
    <w:rsid w:val="00AB659C"/>
    <w:rsid w:val="00AB6A9A"/>
    <w:rsid w:val="00AB7C54"/>
    <w:rsid w:val="00AC1FE9"/>
    <w:rsid w:val="00AC2CCE"/>
    <w:rsid w:val="00AC323A"/>
    <w:rsid w:val="00AD06E7"/>
    <w:rsid w:val="00AD0AC5"/>
    <w:rsid w:val="00AD27D4"/>
    <w:rsid w:val="00AD3212"/>
    <w:rsid w:val="00AE0491"/>
    <w:rsid w:val="00AE46A0"/>
    <w:rsid w:val="00AE739E"/>
    <w:rsid w:val="00AF09DB"/>
    <w:rsid w:val="00AF64C4"/>
    <w:rsid w:val="00B004B4"/>
    <w:rsid w:val="00B0155C"/>
    <w:rsid w:val="00B06896"/>
    <w:rsid w:val="00B1144D"/>
    <w:rsid w:val="00B12748"/>
    <w:rsid w:val="00B14B82"/>
    <w:rsid w:val="00B15825"/>
    <w:rsid w:val="00B16AC4"/>
    <w:rsid w:val="00B17AE5"/>
    <w:rsid w:val="00B213DE"/>
    <w:rsid w:val="00B22701"/>
    <w:rsid w:val="00B3012E"/>
    <w:rsid w:val="00B32DC9"/>
    <w:rsid w:val="00B32E16"/>
    <w:rsid w:val="00B357F1"/>
    <w:rsid w:val="00B46940"/>
    <w:rsid w:val="00B53C28"/>
    <w:rsid w:val="00B54C17"/>
    <w:rsid w:val="00B575CB"/>
    <w:rsid w:val="00B63C0F"/>
    <w:rsid w:val="00B646DE"/>
    <w:rsid w:val="00B669A3"/>
    <w:rsid w:val="00B67F26"/>
    <w:rsid w:val="00B703AE"/>
    <w:rsid w:val="00B71821"/>
    <w:rsid w:val="00B7243D"/>
    <w:rsid w:val="00B72E39"/>
    <w:rsid w:val="00B74532"/>
    <w:rsid w:val="00B74AAA"/>
    <w:rsid w:val="00B74FA6"/>
    <w:rsid w:val="00B75EEF"/>
    <w:rsid w:val="00B82141"/>
    <w:rsid w:val="00B83888"/>
    <w:rsid w:val="00B85E20"/>
    <w:rsid w:val="00BA01C8"/>
    <w:rsid w:val="00BA72E0"/>
    <w:rsid w:val="00BB123C"/>
    <w:rsid w:val="00BB2E6D"/>
    <w:rsid w:val="00BB4A67"/>
    <w:rsid w:val="00BB5A84"/>
    <w:rsid w:val="00BC036B"/>
    <w:rsid w:val="00BC0C36"/>
    <w:rsid w:val="00BC0F25"/>
    <w:rsid w:val="00BC1607"/>
    <w:rsid w:val="00BC2959"/>
    <w:rsid w:val="00BC6529"/>
    <w:rsid w:val="00BD0057"/>
    <w:rsid w:val="00BD169B"/>
    <w:rsid w:val="00BD1C27"/>
    <w:rsid w:val="00BD7430"/>
    <w:rsid w:val="00BE2BE5"/>
    <w:rsid w:val="00BE444E"/>
    <w:rsid w:val="00BE518F"/>
    <w:rsid w:val="00BE596A"/>
    <w:rsid w:val="00BE6D91"/>
    <w:rsid w:val="00BE6E26"/>
    <w:rsid w:val="00BF291E"/>
    <w:rsid w:val="00BF52AC"/>
    <w:rsid w:val="00C01F90"/>
    <w:rsid w:val="00C02466"/>
    <w:rsid w:val="00C063EF"/>
    <w:rsid w:val="00C10133"/>
    <w:rsid w:val="00C10240"/>
    <w:rsid w:val="00C1069C"/>
    <w:rsid w:val="00C106D1"/>
    <w:rsid w:val="00C12AC0"/>
    <w:rsid w:val="00C13EF2"/>
    <w:rsid w:val="00C149E2"/>
    <w:rsid w:val="00C1659E"/>
    <w:rsid w:val="00C17842"/>
    <w:rsid w:val="00C21122"/>
    <w:rsid w:val="00C226F6"/>
    <w:rsid w:val="00C233A6"/>
    <w:rsid w:val="00C24ACC"/>
    <w:rsid w:val="00C25EC9"/>
    <w:rsid w:val="00C2642E"/>
    <w:rsid w:val="00C26AC4"/>
    <w:rsid w:val="00C3142F"/>
    <w:rsid w:val="00C40052"/>
    <w:rsid w:val="00C41F29"/>
    <w:rsid w:val="00C43574"/>
    <w:rsid w:val="00C437C9"/>
    <w:rsid w:val="00C45205"/>
    <w:rsid w:val="00C5156F"/>
    <w:rsid w:val="00C5249D"/>
    <w:rsid w:val="00C539D7"/>
    <w:rsid w:val="00C549FB"/>
    <w:rsid w:val="00C55458"/>
    <w:rsid w:val="00C55B73"/>
    <w:rsid w:val="00C5795B"/>
    <w:rsid w:val="00C614E4"/>
    <w:rsid w:val="00C637F5"/>
    <w:rsid w:val="00C67D32"/>
    <w:rsid w:val="00C7220D"/>
    <w:rsid w:val="00C74888"/>
    <w:rsid w:val="00C74B2C"/>
    <w:rsid w:val="00C7747A"/>
    <w:rsid w:val="00C8196B"/>
    <w:rsid w:val="00C83A36"/>
    <w:rsid w:val="00C84B3F"/>
    <w:rsid w:val="00C868DC"/>
    <w:rsid w:val="00CA1617"/>
    <w:rsid w:val="00CA4BC1"/>
    <w:rsid w:val="00CA5AAD"/>
    <w:rsid w:val="00CA782C"/>
    <w:rsid w:val="00CA8CC3"/>
    <w:rsid w:val="00CB5150"/>
    <w:rsid w:val="00CB5DE2"/>
    <w:rsid w:val="00CB6333"/>
    <w:rsid w:val="00CB63BE"/>
    <w:rsid w:val="00CC3255"/>
    <w:rsid w:val="00CC3DC4"/>
    <w:rsid w:val="00CC492B"/>
    <w:rsid w:val="00CD2459"/>
    <w:rsid w:val="00CD6E66"/>
    <w:rsid w:val="00CE0B1A"/>
    <w:rsid w:val="00CE1154"/>
    <w:rsid w:val="00CE3207"/>
    <w:rsid w:val="00CE57DA"/>
    <w:rsid w:val="00CE6E30"/>
    <w:rsid w:val="00CF2F3A"/>
    <w:rsid w:val="00CF3242"/>
    <w:rsid w:val="00CF340F"/>
    <w:rsid w:val="00CF50BA"/>
    <w:rsid w:val="00CF7D0A"/>
    <w:rsid w:val="00D0111E"/>
    <w:rsid w:val="00D042F8"/>
    <w:rsid w:val="00D04B79"/>
    <w:rsid w:val="00D1169F"/>
    <w:rsid w:val="00D12850"/>
    <w:rsid w:val="00D20288"/>
    <w:rsid w:val="00D25071"/>
    <w:rsid w:val="00D26536"/>
    <w:rsid w:val="00D32E62"/>
    <w:rsid w:val="00D332C5"/>
    <w:rsid w:val="00D33674"/>
    <w:rsid w:val="00D34695"/>
    <w:rsid w:val="00D355CF"/>
    <w:rsid w:val="00D36F42"/>
    <w:rsid w:val="00D37AF3"/>
    <w:rsid w:val="00D37DF6"/>
    <w:rsid w:val="00D41D17"/>
    <w:rsid w:val="00D468D8"/>
    <w:rsid w:val="00D544F2"/>
    <w:rsid w:val="00D54D97"/>
    <w:rsid w:val="00D57AEC"/>
    <w:rsid w:val="00D61734"/>
    <w:rsid w:val="00D6431A"/>
    <w:rsid w:val="00D65FCF"/>
    <w:rsid w:val="00D6737A"/>
    <w:rsid w:val="00D70CC5"/>
    <w:rsid w:val="00D70FCC"/>
    <w:rsid w:val="00D71A8F"/>
    <w:rsid w:val="00D73850"/>
    <w:rsid w:val="00D73F9C"/>
    <w:rsid w:val="00D74EFD"/>
    <w:rsid w:val="00D768D5"/>
    <w:rsid w:val="00D80889"/>
    <w:rsid w:val="00D80BE4"/>
    <w:rsid w:val="00D868E7"/>
    <w:rsid w:val="00D91031"/>
    <w:rsid w:val="00D92F60"/>
    <w:rsid w:val="00D9699F"/>
    <w:rsid w:val="00D97A25"/>
    <w:rsid w:val="00DA0E80"/>
    <w:rsid w:val="00DA250C"/>
    <w:rsid w:val="00DA39D9"/>
    <w:rsid w:val="00DA7340"/>
    <w:rsid w:val="00DB28D7"/>
    <w:rsid w:val="00DC00D6"/>
    <w:rsid w:val="00DC1ACF"/>
    <w:rsid w:val="00DC5857"/>
    <w:rsid w:val="00DC5B31"/>
    <w:rsid w:val="00DD0C5F"/>
    <w:rsid w:val="00DD21A7"/>
    <w:rsid w:val="00DD3239"/>
    <w:rsid w:val="00DD50FD"/>
    <w:rsid w:val="00DD53D9"/>
    <w:rsid w:val="00DD7FBA"/>
    <w:rsid w:val="00DE3149"/>
    <w:rsid w:val="00DE4F68"/>
    <w:rsid w:val="00DF0A79"/>
    <w:rsid w:val="00DF14F3"/>
    <w:rsid w:val="00E002E8"/>
    <w:rsid w:val="00E00A4B"/>
    <w:rsid w:val="00E015C3"/>
    <w:rsid w:val="00E029DC"/>
    <w:rsid w:val="00E05C33"/>
    <w:rsid w:val="00E13265"/>
    <w:rsid w:val="00E13536"/>
    <w:rsid w:val="00E13E78"/>
    <w:rsid w:val="00E14580"/>
    <w:rsid w:val="00E24853"/>
    <w:rsid w:val="00E26638"/>
    <w:rsid w:val="00E3087C"/>
    <w:rsid w:val="00E30E5A"/>
    <w:rsid w:val="00E32927"/>
    <w:rsid w:val="00E3570A"/>
    <w:rsid w:val="00E365C5"/>
    <w:rsid w:val="00E370DB"/>
    <w:rsid w:val="00E4021F"/>
    <w:rsid w:val="00E406C3"/>
    <w:rsid w:val="00E42663"/>
    <w:rsid w:val="00E43249"/>
    <w:rsid w:val="00E448A3"/>
    <w:rsid w:val="00E46080"/>
    <w:rsid w:val="00E4654D"/>
    <w:rsid w:val="00E5112A"/>
    <w:rsid w:val="00E51133"/>
    <w:rsid w:val="00E515D7"/>
    <w:rsid w:val="00E51B6B"/>
    <w:rsid w:val="00E56E7C"/>
    <w:rsid w:val="00E56F1C"/>
    <w:rsid w:val="00E60766"/>
    <w:rsid w:val="00E60E3B"/>
    <w:rsid w:val="00E63B99"/>
    <w:rsid w:val="00E70485"/>
    <w:rsid w:val="00E735AB"/>
    <w:rsid w:val="00E75948"/>
    <w:rsid w:val="00E77127"/>
    <w:rsid w:val="00E80E94"/>
    <w:rsid w:val="00E815FC"/>
    <w:rsid w:val="00E838A4"/>
    <w:rsid w:val="00E85B5A"/>
    <w:rsid w:val="00E87135"/>
    <w:rsid w:val="00E87DD6"/>
    <w:rsid w:val="00E905E6"/>
    <w:rsid w:val="00E90F2A"/>
    <w:rsid w:val="00EA533C"/>
    <w:rsid w:val="00EA66E7"/>
    <w:rsid w:val="00EB1447"/>
    <w:rsid w:val="00EB1D26"/>
    <w:rsid w:val="00EB278D"/>
    <w:rsid w:val="00EB5596"/>
    <w:rsid w:val="00EC432A"/>
    <w:rsid w:val="00EC4788"/>
    <w:rsid w:val="00EC4DC6"/>
    <w:rsid w:val="00EC5BE3"/>
    <w:rsid w:val="00ED0C00"/>
    <w:rsid w:val="00ED1F35"/>
    <w:rsid w:val="00ED29CC"/>
    <w:rsid w:val="00ED40DB"/>
    <w:rsid w:val="00ED56F7"/>
    <w:rsid w:val="00EE27A0"/>
    <w:rsid w:val="00EE2F1D"/>
    <w:rsid w:val="00EE3473"/>
    <w:rsid w:val="00EE5C77"/>
    <w:rsid w:val="00EF1E57"/>
    <w:rsid w:val="00EF3994"/>
    <w:rsid w:val="00EF41CB"/>
    <w:rsid w:val="00EF48E9"/>
    <w:rsid w:val="00EF498B"/>
    <w:rsid w:val="00F01CF2"/>
    <w:rsid w:val="00F0440E"/>
    <w:rsid w:val="00F0626D"/>
    <w:rsid w:val="00F118A1"/>
    <w:rsid w:val="00F14363"/>
    <w:rsid w:val="00F15D85"/>
    <w:rsid w:val="00F17AFF"/>
    <w:rsid w:val="00F2113A"/>
    <w:rsid w:val="00F2172F"/>
    <w:rsid w:val="00F21D4A"/>
    <w:rsid w:val="00F23128"/>
    <w:rsid w:val="00F242B1"/>
    <w:rsid w:val="00F31647"/>
    <w:rsid w:val="00F3451D"/>
    <w:rsid w:val="00F357C9"/>
    <w:rsid w:val="00F35F12"/>
    <w:rsid w:val="00F3623F"/>
    <w:rsid w:val="00F37A45"/>
    <w:rsid w:val="00F37D8A"/>
    <w:rsid w:val="00F40192"/>
    <w:rsid w:val="00F4349C"/>
    <w:rsid w:val="00F43815"/>
    <w:rsid w:val="00F45566"/>
    <w:rsid w:val="00F45CF2"/>
    <w:rsid w:val="00F502CF"/>
    <w:rsid w:val="00F50ED5"/>
    <w:rsid w:val="00F51A21"/>
    <w:rsid w:val="00F55173"/>
    <w:rsid w:val="00F5521E"/>
    <w:rsid w:val="00F55888"/>
    <w:rsid w:val="00F618C4"/>
    <w:rsid w:val="00F61E09"/>
    <w:rsid w:val="00F62D26"/>
    <w:rsid w:val="00F63869"/>
    <w:rsid w:val="00F64312"/>
    <w:rsid w:val="00F64496"/>
    <w:rsid w:val="00F758D0"/>
    <w:rsid w:val="00F75D15"/>
    <w:rsid w:val="00F873EE"/>
    <w:rsid w:val="00F92739"/>
    <w:rsid w:val="00FA133E"/>
    <w:rsid w:val="00FA2681"/>
    <w:rsid w:val="00FA6154"/>
    <w:rsid w:val="00FB2B0F"/>
    <w:rsid w:val="00FB3D8B"/>
    <w:rsid w:val="00FB4A01"/>
    <w:rsid w:val="00FB521F"/>
    <w:rsid w:val="00FB6B08"/>
    <w:rsid w:val="00FC01C2"/>
    <w:rsid w:val="00FC1C51"/>
    <w:rsid w:val="00FC285E"/>
    <w:rsid w:val="00FC47E5"/>
    <w:rsid w:val="00FC5281"/>
    <w:rsid w:val="00FD290B"/>
    <w:rsid w:val="00FD439D"/>
    <w:rsid w:val="00FD5E55"/>
    <w:rsid w:val="00FD6496"/>
    <w:rsid w:val="00FD66CF"/>
    <w:rsid w:val="00FE021A"/>
    <w:rsid w:val="00FE369C"/>
    <w:rsid w:val="00FE7CCE"/>
    <w:rsid w:val="00FF2129"/>
    <w:rsid w:val="00FF5D59"/>
    <w:rsid w:val="00FF7373"/>
    <w:rsid w:val="00FF7699"/>
    <w:rsid w:val="014153FF"/>
    <w:rsid w:val="01FD88B6"/>
    <w:rsid w:val="02630797"/>
    <w:rsid w:val="02D4E747"/>
    <w:rsid w:val="03346A07"/>
    <w:rsid w:val="034AE04F"/>
    <w:rsid w:val="035A2F37"/>
    <w:rsid w:val="03F101CE"/>
    <w:rsid w:val="053ED9FF"/>
    <w:rsid w:val="05ABC6A0"/>
    <w:rsid w:val="05C4EEFD"/>
    <w:rsid w:val="05E4978C"/>
    <w:rsid w:val="0685480E"/>
    <w:rsid w:val="06FB4116"/>
    <w:rsid w:val="070CD452"/>
    <w:rsid w:val="07713A1E"/>
    <w:rsid w:val="07A3A6E9"/>
    <w:rsid w:val="088DF6B0"/>
    <w:rsid w:val="08BFB82C"/>
    <w:rsid w:val="09039CD1"/>
    <w:rsid w:val="0953274A"/>
    <w:rsid w:val="09589FA7"/>
    <w:rsid w:val="09EF723E"/>
    <w:rsid w:val="0A7F37C3"/>
    <w:rsid w:val="0A8AE2F4"/>
    <w:rsid w:val="0AE1EFB3"/>
    <w:rsid w:val="0AF47008"/>
    <w:rsid w:val="0D93294F"/>
    <w:rsid w:val="0E76E493"/>
    <w:rsid w:val="0F52A8E6"/>
    <w:rsid w:val="1040A9F6"/>
    <w:rsid w:val="10D21EA9"/>
    <w:rsid w:val="10E0238D"/>
    <w:rsid w:val="115276B5"/>
    <w:rsid w:val="1213C6FB"/>
    <w:rsid w:val="12955D48"/>
    <w:rsid w:val="14C0C29F"/>
    <w:rsid w:val="14E42AE7"/>
    <w:rsid w:val="1525882D"/>
    <w:rsid w:val="16C1588E"/>
    <w:rsid w:val="171988EA"/>
    <w:rsid w:val="17434F9A"/>
    <w:rsid w:val="176965FC"/>
    <w:rsid w:val="17EB25CC"/>
    <w:rsid w:val="19A98620"/>
    <w:rsid w:val="1B6FF623"/>
    <w:rsid w:val="1BDFCF18"/>
    <w:rsid w:val="1D309A12"/>
    <w:rsid w:val="1D5752B3"/>
    <w:rsid w:val="1DD5DFB1"/>
    <w:rsid w:val="1E0B34A8"/>
    <w:rsid w:val="1E1D1230"/>
    <w:rsid w:val="1E83E7AF"/>
    <w:rsid w:val="1E840455"/>
    <w:rsid w:val="1FBC7B7C"/>
    <w:rsid w:val="22DEE5F6"/>
    <w:rsid w:val="22E8AA21"/>
    <w:rsid w:val="23046AE0"/>
    <w:rsid w:val="23FF7672"/>
    <w:rsid w:val="2465B696"/>
    <w:rsid w:val="248712E4"/>
    <w:rsid w:val="249B5233"/>
    <w:rsid w:val="24A03B41"/>
    <w:rsid w:val="2507663F"/>
    <w:rsid w:val="25729421"/>
    <w:rsid w:val="25E6F086"/>
    <w:rsid w:val="2616468D"/>
    <w:rsid w:val="26D77C58"/>
    <w:rsid w:val="2772A987"/>
    <w:rsid w:val="2787774C"/>
    <w:rsid w:val="27CEB136"/>
    <w:rsid w:val="27D7DC03"/>
    <w:rsid w:val="28C3B170"/>
    <w:rsid w:val="29169F62"/>
    <w:rsid w:val="29BA9DEF"/>
    <w:rsid w:val="2A11E61C"/>
    <w:rsid w:val="2CB6EA4E"/>
    <w:rsid w:val="2E085C25"/>
    <w:rsid w:val="2E31599A"/>
    <w:rsid w:val="2E45B2B7"/>
    <w:rsid w:val="2E9A0B79"/>
    <w:rsid w:val="2F745049"/>
    <w:rsid w:val="2F8A9BAB"/>
    <w:rsid w:val="2FEA7493"/>
    <w:rsid w:val="301B3786"/>
    <w:rsid w:val="30A0C81D"/>
    <w:rsid w:val="34210E3D"/>
    <w:rsid w:val="35F368EA"/>
    <w:rsid w:val="36EDA022"/>
    <w:rsid w:val="37D9A89F"/>
    <w:rsid w:val="3822252B"/>
    <w:rsid w:val="38C469D0"/>
    <w:rsid w:val="39D726E2"/>
    <w:rsid w:val="3A2540E4"/>
    <w:rsid w:val="3AD08113"/>
    <w:rsid w:val="3B4E53D0"/>
    <w:rsid w:val="3C43AF14"/>
    <w:rsid w:val="3C835A46"/>
    <w:rsid w:val="3E325558"/>
    <w:rsid w:val="3E87E0F3"/>
    <w:rsid w:val="3F37DBE7"/>
    <w:rsid w:val="3F5844F7"/>
    <w:rsid w:val="3F8F849E"/>
    <w:rsid w:val="4033BB0D"/>
    <w:rsid w:val="404D4E4E"/>
    <w:rsid w:val="412E8B81"/>
    <w:rsid w:val="4180D534"/>
    <w:rsid w:val="4188455B"/>
    <w:rsid w:val="4292A9FD"/>
    <w:rsid w:val="435B5216"/>
    <w:rsid w:val="435D40B0"/>
    <w:rsid w:val="44A6BDC0"/>
    <w:rsid w:val="45775D41"/>
    <w:rsid w:val="484F5328"/>
    <w:rsid w:val="485D8C42"/>
    <w:rsid w:val="48750E3F"/>
    <w:rsid w:val="494C502D"/>
    <w:rsid w:val="4BF88391"/>
    <w:rsid w:val="4CB9BD2B"/>
    <w:rsid w:val="4D28FC91"/>
    <w:rsid w:val="4D9457C1"/>
    <w:rsid w:val="4DABA3C8"/>
    <w:rsid w:val="4DC2C71E"/>
    <w:rsid w:val="4E0D0AC8"/>
    <w:rsid w:val="4F1A9353"/>
    <w:rsid w:val="4F302822"/>
    <w:rsid w:val="4F4BB83F"/>
    <w:rsid w:val="4FCC8A5F"/>
    <w:rsid w:val="4FF15DED"/>
    <w:rsid w:val="513AE315"/>
    <w:rsid w:val="5144AB8A"/>
    <w:rsid w:val="521855B4"/>
    <w:rsid w:val="52394E76"/>
    <w:rsid w:val="52E07BEB"/>
    <w:rsid w:val="5399B486"/>
    <w:rsid w:val="547EFAAA"/>
    <w:rsid w:val="54ABA6B3"/>
    <w:rsid w:val="55531472"/>
    <w:rsid w:val="559F69A6"/>
    <w:rsid w:val="56181CAD"/>
    <w:rsid w:val="565B60FD"/>
    <w:rsid w:val="56609F71"/>
    <w:rsid w:val="56DF931F"/>
    <w:rsid w:val="575885A4"/>
    <w:rsid w:val="577AF31F"/>
    <w:rsid w:val="58A47D40"/>
    <w:rsid w:val="59930106"/>
    <w:rsid w:val="59D020BE"/>
    <w:rsid w:val="5A236799"/>
    <w:rsid w:val="5AB0FFE6"/>
    <w:rsid w:val="5ABF3900"/>
    <w:rsid w:val="5B738477"/>
    <w:rsid w:val="5BF582CD"/>
    <w:rsid w:val="5CCFE0F5"/>
    <w:rsid w:val="5D0C6626"/>
    <w:rsid w:val="5D3F20C7"/>
    <w:rsid w:val="5D5A0B41"/>
    <w:rsid w:val="5F545B79"/>
    <w:rsid w:val="604C28E2"/>
    <w:rsid w:val="606B4F6C"/>
    <w:rsid w:val="607B7B53"/>
    <w:rsid w:val="608A01C7"/>
    <w:rsid w:val="609BAE6D"/>
    <w:rsid w:val="611C9EAF"/>
    <w:rsid w:val="62AB8C01"/>
    <w:rsid w:val="6325FA1C"/>
    <w:rsid w:val="638CD2B0"/>
    <w:rsid w:val="63A39E7A"/>
    <w:rsid w:val="63FA1A35"/>
    <w:rsid w:val="640094B2"/>
    <w:rsid w:val="651A1CBA"/>
    <w:rsid w:val="65E02534"/>
    <w:rsid w:val="66171661"/>
    <w:rsid w:val="66B2110F"/>
    <w:rsid w:val="66B5ED1B"/>
    <w:rsid w:val="6798BD38"/>
    <w:rsid w:val="67B8C195"/>
    <w:rsid w:val="67C5973D"/>
    <w:rsid w:val="6851BD7C"/>
    <w:rsid w:val="698400C9"/>
    <w:rsid w:val="6B1BF152"/>
    <w:rsid w:val="6B639929"/>
    <w:rsid w:val="6BE96402"/>
    <w:rsid w:val="6CB46847"/>
    <w:rsid w:val="6D5803C8"/>
    <w:rsid w:val="6D9BCBC7"/>
    <w:rsid w:val="6DC79984"/>
    <w:rsid w:val="6E51F841"/>
    <w:rsid w:val="6E705485"/>
    <w:rsid w:val="6F23CBC1"/>
    <w:rsid w:val="70AFBD53"/>
    <w:rsid w:val="72B560AF"/>
    <w:rsid w:val="72C5F36E"/>
    <w:rsid w:val="7313D7BA"/>
    <w:rsid w:val="74D7EE47"/>
    <w:rsid w:val="754FDD6E"/>
    <w:rsid w:val="75ACE904"/>
    <w:rsid w:val="7605BAE5"/>
    <w:rsid w:val="7767819B"/>
    <w:rsid w:val="7805FCAE"/>
    <w:rsid w:val="78283147"/>
    <w:rsid w:val="78F63BFC"/>
    <w:rsid w:val="790351FC"/>
    <w:rsid w:val="79B192EA"/>
    <w:rsid w:val="79B4ED80"/>
    <w:rsid w:val="79C6545F"/>
    <w:rsid w:val="7A435623"/>
    <w:rsid w:val="7A8DE786"/>
    <w:rsid w:val="7B5E8D4D"/>
    <w:rsid w:val="7B5F874D"/>
    <w:rsid w:val="7CCBB238"/>
    <w:rsid w:val="7D2A1792"/>
    <w:rsid w:val="7D52F386"/>
    <w:rsid w:val="7DA7DC14"/>
    <w:rsid w:val="7DFD276F"/>
    <w:rsid w:val="7ED8A03E"/>
    <w:rsid w:val="7F98950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AA2F6"/>
  <w15:chartTrackingRefBased/>
  <w15:docId w15:val="{9F697863-6B07-465A-A530-9E21FCF43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303"/>
    <w:pPr>
      <w:spacing w:line="260" w:lineRule="atLeast"/>
    </w:pPr>
    <w:rPr>
      <w:rFonts w:ascii="Times New Roman" w:eastAsia="Times New Roman" w:hAnsi="Times New Roman"/>
      <w:sz w:val="22"/>
      <w:lang w:eastAsia="en-US"/>
    </w:rPr>
  </w:style>
  <w:style w:type="paragraph" w:styleId="Heading1">
    <w:name w:val="heading 1"/>
    <w:basedOn w:val="Normal"/>
    <w:next w:val="Normal"/>
    <w:link w:val="Heading1Char"/>
    <w:uiPriority w:val="9"/>
    <w:qFormat/>
    <w:rsid w:val="009721CB"/>
    <w:pPr>
      <w:keepNext/>
      <w:keepLines/>
      <w:numPr>
        <w:numId w:val="3"/>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721CB"/>
    <w:pPr>
      <w:keepNext/>
      <w:keepLines/>
      <w:numPr>
        <w:ilvl w:val="1"/>
        <w:numId w:val="3"/>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721CB"/>
    <w:pPr>
      <w:keepNext/>
      <w:keepLines/>
      <w:numPr>
        <w:ilvl w:val="2"/>
        <w:numId w:val="3"/>
      </w:numPr>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721CB"/>
    <w:pPr>
      <w:keepNext/>
      <w:keepLines/>
      <w:numPr>
        <w:ilvl w:val="3"/>
        <w:numId w:val="3"/>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721CB"/>
    <w:pPr>
      <w:keepNext/>
      <w:keepLines/>
      <w:numPr>
        <w:ilvl w:val="4"/>
        <w:numId w:val="3"/>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721CB"/>
    <w:pPr>
      <w:keepNext/>
      <w:keepLines/>
      <w:numPr>
        <w:ilvl w:val="5"/>
        <w:numId w:val="3"/>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721CB"/>
    <w:pPr>
      <w:keepNext/>
      <w:keepLines/>
      <w:numPr>
        <w:ilvl w:val="6"/>
        <w:numId w:val="3"/>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9721CB"/>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721CB"/>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27303"/>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styleId="ListParagraph">
    <w:name w:val="List Paragraph"/>
    <w:aliases w:val="List Paragraph 1"/>
    <w:basedOn w:val="Normal"/>
    <w:link w:val="ListParagraphChar"/>
    <w:uiPriority w:val="34"/>
    <w:qFormat/>
    <w:rsid w:val="0076045F"/>
    <w:pPr>
      <w:spacing w:after="200" w:line="276" w:lineRule="auto"/>
      <w:ind w:left="720"/>
      <w:contextualSpacing/>
    </w:pPr>
    <w:rPr>
      <w:rFonts w:ascii="Calibri" w:eastAsia="Calibri" w:hAnsi="Calibri"/>
      <w:szCs w:val="22"/>
    </w:rPr>
  </w:style>
  <w:style w:type="paragraph" w:styleId="Header">
    <w:name w:val="header"/>
    <w:basedOn w:val="Normal"/>
    <w:link w:val="HeaderChar"/>
    <w:unhideWhenUsed/>
    <w:rsid w:val="00A46004"/>
    <w:pPr>
      <w:tabs>
        <w:tab w:val="center" w:pos="4513"/>
        <w:tab w:val="right" w:pos="9026"/>
      </w:tabs>
      <w:spacing w:line="240" w:lineRule="auto"/>
    </w:pPr>
  </w:style>
  <w:style w:type="character" w:customStyle="1" w:styleId="HeaderChar">
    <w:name w:val="Header Char"/>
    <w:link w:val="Header"/>
    <w:rsid w:val="00A46004"/>
    <w:rPr>
      <w:rFonts w:ascii="Times New Roman" w:eastAsia="Times New Roman" w:hAnsi="Times New Roman" w:cs="Times New Roman"/>
      <w:szCs w:val="20"/>
    </w:rPr>
  </w:style>
  <w:style w:type="paragraph" w:styleId="Footer">
    <w:name w:val="footer"/>
    <w:basedOn w:val="Normal"/>
    <w:link w:val="FooterChar"/>
    <w:uiPriority w:val="99"/>
    <w:unhideWhenUsed/>
    <w:rsid w:val="00A46004"/>
    <w:pPr>
      <w:tabs>
        <w:tab w:val="center" w:pos="4513"/>
        <w:tab w:val="right" w:pos="9026"/>
      </w:tabs>
      <w:spacing w:line="240" w:lineRule="auto"/>
    </w:pPr>
  </w:style>
  <w:style w:type="character" w:customStyle="1" w:styleId="FooterChar">
    <w:name w:val="Footer Char"/>
    <w:link w:val="Footer"/>
    <w:uiPriority w:val="99"/>
    <w:rsid w:val="00A46004"/>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130C67"/>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130C67"/>
    <w:rPr>
      <w:rFonts w:ascii="Segoe UI" w:eastAsia="Times New Roman" w:hAnsi="Segoe UI" w:cs="Segoe UI"/>
      <w:sz w:val="18"/>
      <w:szCs w:val="18"/>
    </w:rPr>
  </w:style>
  <w:style w:type="character" w:customStyle="1" w:styleId="ListParagraphChar">
    <w:name w:val="List Paragraph Char"/>
    <w:aliases w:val="List Paragraph 1 Char"/>
    <w:basedOn w:val="DefaultParagraphFont"/>
    <w:link w:val="ListParagraph"/>
    <w:uiPriority w:val="34"/>
    <w:locked/>
    <w:rsid w:val="00AB659C"/>
    <w:rPr>
      <w:sz w:val="22"/>
      <w:szCs w:val="22"/>
      <w:lang w:eastAsia="en-US"/>
    </w:rPr>
  </w:style>
  <w:style w:type="table" w:styleId="PlainTable4">
    <w:name w:val="Plain Table 4"/>
    <w:basedOn w:val="TableNormal"/>
    <w:uiPriority w:val="44"/>
    <w:rsid w:val="005E1576"/>
    <w:rPr>
      <w:rFonts w:asciiTheme="minorHAnsi" w:eastAsiaTheme="minorHAnsi" w:hAnsiTheme="minorHAnsi" w:cstheme="minorBid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1Light-Accent1">
    <w:name w:val="List Table 1 Light Accent 1"/>
    <w:basedOn w:val="TableNormal"/>
    <w:uiPriority w:val="46"/>
    <w:rsid w:val="00CE6E30"/>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JDTextChar">
    <w:name w:val="JD Text Char"/>
    <w:link w:val="JDText"/>
    <w:locked/>
    <w:rsid w:val="00A507CC"/>
    <w:rPr>
      <w:rFonts w:ascii="Arial" w:hAnsi="Arial" w:cs="Arial"/>
      <w:sz w:val="22"/>
      <w:szCs w:val="24"/>
      <w:lang w:eastAsia="en-US"/>
    </w:rPr>
  </w:style>
  <w:style w:type="paragraph" w:customStyle="1" w:styleId="JDText">
    <w:name w:val="JD Text"/>
    <w:basedOn w:val="BodyText2"/>
    <w:link w:val="JDTextChar"/>
    <w:rsid w:val="00A507CC"/>
    <w:pPr>
      <w:spacing w:line="240" w:lineRule="auto"/>
    </w:pPr>
    <w:rPr>
      <w:rFonts w:ascii="Arial" w:eastAsia="Calibri" w:hAnsi="Arial" w:cs="Arial"/>
      <w:szCs w:val="24"/>
    </w:rPr>
  </w:style>
  <w:style w:type="paragraph" w:styleId="BodyText2">
    <w:name w:val="Body Text 2"/>
    <w:basedOn w:val="Normal"/>
    <w:link w:val="BodyText2Char"/>
    <w:uiPriority w:val="99"/>
    <w:semiHidden/>
    <w:unhideWhenUsed/>
    <w:rsid w:val="00A507CC"/>
    <w:pPr>
      <w:spacing w:after="120" w:line="480" w:lineRule="auto"/>
    </w:pPr>
  </w:style>
  <w:style w:type="character" w:customStyle="1" w:styleId="BodyText2Char">
    <w:name w:val="Body Text 2 Char"/>
    <w:basedOn w:val="DefaultParagraphFont"/>
    <w:link w:val="BodyText2"/>
    <w:uiPriority w:val="99"/>
    <w:semiHidden/>
    <w:rsid w:val="00A507CC"/>
    <w:rPr>
      <w:rFonts w:ascii="Times New Roman" w:eastAsia="Times New Roman" w:hAnsi="Times New Roman"/>
      <w:sz w:val="22"/>
      <w:lang w:eastAsia="en-US"/>
    </w:rPr>
  </w:style>
  <w:style w:type="paragraph" w:customStyle="1" w:styleId="Default">
    <w:name w:val="Default"/>
    <w:rsid w:val="002A2137"/>
    <w:pPr>
      <w:autoSpaceDE w:val="0"/>
      <w:autoSpaceDN w:val="0"/>
      <w:adjustRightInd w:val="0"/>
    </w:pPr>
    <w:rPr>
      <w:rFonts w:ascii="Arial" w:eastAsia="Times New Roman" w:hAnsi="Arial" w:cs="Arial"/>
      <w:color w:val="000000"/>
      <w:sz w:val="24"/>
      <w:szCs w:val="24"/>
    </w:rPr>
  </w:style>
  <w:style w:type="character" w:styleId="CommentReference">
    <w:name w:val="annotation reference"/>
    <w:basedOn w:val="DefaultParagraphFont"/>
    <w:uiPriority w:val="99"/>
    <w:semiHidden/>
    <w:unhideWhenUsed/>
    <w:rsid w:val="000D62CB"/>
    <w:rPr>
      <w:sz w:val="16"/>
      <w:szCs w:val="16"/>
    </w:rPr>
  </w:style>
  <w:style w:type="paragraph" w:styleId="CommentText">
    <w:name w:val="annotation text"/>
    <w:basedOn w:val="Normal"/>
    <w:link w:val="CommentTextChar"/>
    <w:uiPriority w:val="99"/>
    <w:unhideWhenUsed/>
    <w:rsid w:val="000D62CB"/>
    <w:pPr>
      <w:spacing w:line="240" w:lineRule="auto"/>
    </w:pPr>
    <w:rPr>
      <w:sz w:val="20"/>
    </w:rPr>
  </w:style>
  <w:style w:type="character" w:customStyle="1" w:styleId="CommentTextChar">
    <w:name w:val="Comment Text Char"/>
    <w:basedOn w:val="DefaultParagraphFont"/>
    <w:link w:val="CommentText"/>
    <w:uiPriority w:val="99"/>
    <w:rsid w:val="000D62CB"/>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0D62CB"/>
    <w:rPr>
      <w:b/>
      <w:bCs/>
    </w:rPr>
  </w:style>
  <w:style w:type="character" w:customStyle="1" w:styleId="CommentSubjectChar">
    <w:name w:val="Comment Subject Char"/>
    <w:basedOn w:val="CommentTextChar"/>
    <w:link w:val="CommentSubject"/>
    <w:uiPriority w:val="99"/>
    <w:semiHidden/>
    <w:rsid w:val="000D62CB"/>
    <w:rPr>
      <w:rFonts w:ascii="Times New Roman" w:eastAsia="Times New Roman" w:hAnsi="Times New Roman"/>
      <w:b/>
      <w:bCs/>
      <w:lang w:eastAsia="en-US"/>
    </w:rPr>
  </w:style>
  <w:style w:type="paragraph" w:styleId="Revision">
    <w:name w:val="Revision"/>
    <w:hidden/>
    <w:uiPriority w:val="99"/>
    <w:semiHidden/>
    <w:rsid w:val="000D62CB"/>
    <w:rPr>
      <w:rFonts w:ascii="Times New Roman" w:eastAsia="Times New Roman" w:hAnsi="Times New Roman"/>
      <w:sz w:val="22"/>
      <w:lang w:eastAsia="en-US"/>
    </w:rPr>
  </w:style>
  <w:style w:type="table" w:styleId="TableGrid">
    <w:name w:val="Table Grid"/>
    <w:basedOn w:val="TableNormal"/>
    <w:uiPriority w:val="39"/>
    <w:rsid w:val="009632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5">
    <w:name w:val="List Table 4 Accent 5"/>
    <w:basedOn w:val="TableNormal"/>
    <w:uiPriority w:val="49"/>
    <w:rsid w:val="009E6367"/>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1Char">
    <w:name w:val="Heading 1 Char"/>
    <w:basedOn w:val="DefaultParagraphFont"/>
    <w:link w:val="Heading1"/>
    <w:uiPriority w:val="9"/>
    <w:rsid w:val="009721CB"/>
    <w:rPr>
      <w:rFonts w:asciiTheme="majorHAnsi" w:eastAsiaTheme="majorEastAsia" w:hAnsiTheme="majorHAnsi" w:cstheme="majorBidi"/>
      <w:color w:val="2F5496" w:themeColor="accent1" w:themeShade="BF"/>
      <w:sz w:val="32"/>
      <w:szCs w:val="32"/>
      <w:lang w:eastAsia="en-US"/>
    </w:rPr>
  </w:style>
  <w:style w:type="character" w:customStyle="1" w:styleId="Heading2Char">
    <w:name w:val="Heading 2 Char"/>
    <w:basedOn w:val="DefaultParagraphFont"/>
    <w:link w:val="Heading2"/>
    <w:uiPriority w:val="9"/>
    <w:rsid w:val="009721CB"/>
    <w:rPr>
      <w:rFonts w:asciiTheme="majorHAnsi" w:eastAsiaTheme="majorEastAsia" w:hAnsiTheme="majorHAnsi" w:cstheme="majorBidi"/>
      <w:color w:val="2F5496" w:themeColor="accent1" w:themeShade="BF"/>
      <w:sz w:val="26"/>
      <w:szCs w:val="26"/>
      <w:lang w:eastAsia="en-US"/>
    </w:rPr>
  </w:style>
  <w:style w:type="character" w:customStyle="1" w:styleId="Heading3Char">
    <w:name w:val="Heading 3 Char"/>
    <w:basedOn w:val="DefaultParagraphFont"/>
    <w:link w:val="Heading3"/>
    <w:uiPriority w:val="9"/>
    <w:semiHidden/>
    <w:rsid w:val="009721CB"/>
    <w:rPr>
      <w:rFonts w:asciiTheme="majorHAnsi" w:eastAsiaTheme="majorEastAsia" w:hAnsiTheme="majorHAnsi" w:cstheme="majorBidi"/>
      <w:color w:val="1F3763" w:themeColor="accent1" w:themeShade="7F"/>
      <w:sz w:val="24"/>
      <w:szCs w:val="24"/>
      <w:lang w:eastAsia="en-US"/>
    </w:rPr>
  </w:style>
  <w:style w:type="character" w:customStyle="1" w:styleId="Heading4Char">
    <w:name w:val="Heading 4 Char"/>
    <w:basedOn w:val="DefaultParagraphFont"/>
    <w:link w:val="Heading4"/>
    <w:uiPriority w:val="9"/>
    <w:semiHidden/>
    <w:rsid w:val="009721CB"/>
    <w:rPr>
      <w:rFonts w:asciiTheme="majorHAnsi" w:eastAsiaTheme="majorEastAsia" w:hAnsiTheme="majorHAnsi" w:cstheme="majorBidi"/>
      <w:i/>
      <w:iCs/>
      <w:color w:val="2F5496" w:themeColor="accent1" w:themeShade="BF"/>
      <w:sz w:val="22"/>
      <w:lang w:eastAsia="en-US"/>
    </w:rPr>
  </w:style>
  <w:style w:type="character" w:customStyle="1" w:styleId="Heading5Char">
    <w:name w:val="Heading 5 Char"/>
    <w:basedOn w:val="DefaultParagraphFont"/>
    <w:link w:val="Heading5"/>
    <w:uiPriority w:val="9"/>
    <w:semiHidden/>
    <w:rsid w:val="009721CB"/>
    <w:rPr>
      <w:rFonts w:asciiTheme="majorHAnsi" w:eastAsiaTheme="majorEastAsia" w:hAnsiTheme="majorHAnsi" w:cstheme="majorBidi"/>
      <w:color w:val="2F5496" w:themeColor="accent1" w:themeShade="BF"/>
      <w:sz w:val="22"/>
      <w:lang w:eastAsia="en-US"/>
    </w:rPr>
  </w:style>
  <w:style w:type="character" w:customStyle="1" w:styleId="Heading6Char">
    <w:name w:val="Heading 6 Char"/>
    <w:basedOn w:val="DefaultParagraphFont"/>
    <w:link w:val="Heading6"/>
    <w:uiPriority w:val="9"/>
    <w:semiHidden/>
    <w:rsid w:val="009721CB"/>
    <w:rPr>
      <w:rFonts w:asciiTheme="majorHAnsi" w:eastAsiaTheme="majorEastAsia" w:hAnsiTheme="majorHAnsi" w:cstheme="majorBidi"/>
      <w:color w:val="1F3763" w:themeColor="accent1" w:themeShade="7F"/>
      <w:sz w:val="22"/>
      <w:lang w:eastAsia="en-US"/>
    </w:rPr>
  </w:style>
  <w:style w:type="character" w:customStyle="1" w:styleId="Heading7Char">
    <w:name w:val="Heading 7 Char"/>
    <w:basedOn w:val="DefaultParagraphFont"/>
    <w:link w:val="Heading7"/>
    <w:uiPriority w:val="9"/>
    <w:semiHidden/>
    <w:rsid w:val="009721CB"/>
    <w:rPr>
      <w:rFonts w:asciiTheme="majorHAnsi" w:eastAsiaTheme="majorEastAsia" w:hAnsiTheme="majorHAnsi" w:cstheme="majorBidi"/>
      <w:i/>
      <w:iCs/>
      <w:color w:val="1F3763" w:themeColor="accent1" w:themeShade="7F"/>
      <w:sz w:val="22"/>
      <w:lang w:eastAsia="en-US"/>
    </w:rPr>
  </w:style>
  <w:style w:type="character" w:customStyle="1" w:styleId="Heading8Char">
    <w:name w:val="Heading 8 Char"/>
    <w:basedOn w:val="DefaultParagraphFont"/>
    <w:link w:val="Heading8"/>
    <w:uiPriority w:val="9"/>
    <w:semiHidden/>
    <w:rsid w:val="009721CB"/>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9721CB"/>
    <w:rPr>
      <w:rFonts w:asciiTheme="majorHAnsi" w:eastAsiaTheme="majorEastAsia" w:hAnsiTheme="majorHAnsi" w:cstheme="majorBidi"/>
      <w:i/>
      <w:iCs/>
      <w:color w:val="272727" w:themeColor="text1" w:themeTint="D8"/>
      <w:sz w:val="21"/>
      <w:szCs w:val="21"/>
      <w:lang w:eastAsia="en-US"/>
    </w:rPr>
  </w:style>
  <w:style w:type="paragraph" w:styleId="FootnoteText">
    <w:name w:val="footnote text"/>
    <w:basedOn w:val="Normal"/>
    <w:link w:val="FootnoteTextChar"/>
    <w:unhideWhenUsed/>
    <w:rsid w:val="00212C8C"/>
    <w:pPr>
      <w:widowControl w:val="0"/>
      <w:spacing w:line="240" w:lineRule="auto"/>
    </w:pPr>
    <w:rPr>
      <w:rFonts w:ascii="Arial" w:hAnsi="Arial"/>
      <w:sz w:val="20"/>
    </w:rPr>
  </w:style>
  <w:style w:type="character" w:customStyle="1" w:styleId="FootnoteTextChar">
    <w:name w:val="Footnote Text Char"/>
    <w:basedOn w:val="DefaultParagraphFont"/>
    <w:link w:val="FootnoteText"/>
    <w:rsid w:val="00212C8C"/>
    <w:rPr>
      <w:rFonts w:ascii="Arial" w:eastAsia="Times New Roman" w:hAnsi="Arial"/>
      <w:lang w:eastAsia="en-US"/>
    </w:rPr>
  </w:style>
  <w:style w:type="character" w:styleId="FootnoteReference">
    <w:name w:val="footnote reference"/>
    <w:basedOn w:val="DefaultParagraphFont"/>
    <w:unhideWhenUsed/>
    <w:rsid w:val="00212C8C"/>
    <w:rPr>
      <w:vertAlign w:val="superscript"/>
    </w:rPr>
  </w:style>
  <w:style w:type="paragraph" w:customStyle="1" w:styleId="paragraph">
    <w:name w:val="paragraph"/>
    <w:basedOn w:val="Normal"/>
    <w:rsid w:val="00570F71"/>
    <w:pPr>
      <w:spacing w:before="100" w:beforeAutospacing="1" w:after="100" w:afterAutospacing="1" w:line="240" w:lineRule="auto"/>
    </w:pPr>
    <w:rPr>
      <w:sz w:val="24"/>
      <w:szCs w:val="24"/>
      <w:lang w:val="en-KE" w:eastAsia="en-KE"/>
    </w:rPr>
  </w:style>
  <w:style w:type="character" w:customStyle="1" w:styleId="normaltextrun">
    <w:name w:val="normaltextrun"/>
    <w:basedOn w:val="DefaultParagraphFont"/>
    <w:rsid w:val="00570F71"/>
  </w:style>
  <w:style w:type="character" w:customStyle="1" w:styleId="eop">
    <w:name w:val="eop"/>
    <w:basedOn w:val="DefaultParagraphFont"/>
    <w:rsid w:val="00570F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7593">
      <w:bodyDiv w:val="1"/>
      <w:marLeft w:val="0"/>
      <w:marRight w:val="0"/>
      <w:marTop w:val="0"/>
      <w:marBottom w:val="0"/>
      <w:divBdr>
        <w:top w:val="none" w:sz="0" w:space="0" w:color="auto"/>
        <w:left w:val="none" w:sz="0" w:space="0" w:color="auto"/>
        <w:bottom w:val="none" w:sz="0" w:space="0" w:color="auto"/>
        <w:right w:val="none" w:sz="0" w:space="0" w:color="auto"/>
      </w:divBdr>
    </w:div>
    <w:div w:id="106317199">
      <w:bodyDiv w:val="1"/>
      <w:marLeft w:val="0"/>
      <w:marRight w:val="0"/>
      <w:marTop w:val="0"/>
      <w:marBottom w:val="0"/>
      <w:divBdr>
        <w:top w:val="none" w:sz="0" w:space="0" w:color="auto"/>
        <w:left w:val="none" w:sz="0" w:space="0" w:color="auto"/>
        <w:bottom w:val="none" w:sz="0" w:space="0" w:color="auto"/>
        <w:right w:val="none" w:sz="0" w:space="0" w:color="auto"/>
      </w:divBdr>
    </w:div>
    <w:div w:id="140973311">
      <w:bodyDiv w:val="1"/>
      <w:marLeft w:val="0"/>
      <w:marRight w:val="0"/>
      <w:marTop w:val="0"/>
      <w:marBottom w:val="0"/>
      <w:divBdr>
        <w:top w:val="none" w:sz="0" w:space="0" w:color="auto"/>
        <w:left w:val="none" w:sz="0" w:space="0" w:color="auto"/>
        <w:bottom w:val="none" w:sz="0" w:space="0" w:color="auto"/>
        <w:right w:val="none" w:sz="0" w:space="0" w:color="auto"/>
      </w:divBdr>
      <w:divsChild>
        <w:div w:id="117065488">
          <w:marLeft w:val="547"/>
          <w:marRight w:val="0"/>
          <w:marTop w:val="0"/>
          <w:marBottom w:val="0"/>
          <w:divBdr>
            <w:top w:val="none" w:sz="0" w:space="0" w:color="auto"/>
            <w:left w:val="none" w:sz="0" w:space="0" w:color="auto"/>
            <w:bottom w:val="none" w:sz="0" w:space="0" w:color="auto"/>
            <w:right w:val="none" w:sz="0" w:space="0" w:color="auto"/>
          </w:divBdr>
        </w:div>
        <w:div w:id="449276898">
          <w:marLeft w:val="547"/>
          <w:marRight w:val="0"/>
          <w:marTop w:val="0"/>
          <w:marBottom w:val="0"/>
          <w:divBdr>
            <w:top w:val="none" w:sz="0" w:space="0" w:color="auto"/>
            <w:left w:val="none" w:sz="0" w:space="0" w:color="auto"/>
            <w:bottom w:val="none" w:sz="0" w:space="0" w:color="auto"/>
            <w:right w:val="none" w:sz="0" w:space="0" w:color="auto"/>
          </w:divBdr>
        </w:div>
        <w:div w:id="465468840">
          <w:marLeft w:val="547"/>
          <w:marRight w:val="0"/>
          <w:marTop w:val="0"/>
          <w:marBottom w:val="0"/>
          <w:divBdr>
            <w:top w:val="none" w:sz="0" w:space="0" w:color="auto"/>
            <w:left w:val="none" w:sz="0" w:space="0" w:color="auto"/>
            <w:bottom w:val="none" w:sz="0" w:space="0" w:color="auto"/>
            <w:right w:val="none" w:sz="0" w:space="0" w:color="auto"/>
          </w:divBdr>
        </w:div>
        <w:div w:id="620067802">
          <w:marLeft w:val="547"/>
          <w:marRight w:val="0"/>
          <w:marTop w:val="0"/>
          <w:marBottom w:val="0"/>
          <w:divBdr>
            <w:top w:val="none" w:sz="0" w:space="0" w:color="auto"/>
            <w:left w:val="none" w:sz="0" w:space="0" w:color="auto"/>
            <w:bottom w:val="none" w:sz="0" w:space="0" w:color="auto"/>
            <w:right w:val="none" w:sz="0" w:space="0" w:color="auto"/>
          </w:divBdr>
        </w:div>
        <w:div w:id="634796983">
          <w:marLeft w:val="547"/>
          <w:marRight w:val="0"/>
          <w:marTop w:val="0"/>
          <w:marBottom w:val="0"/>
          <w:divBdr>
            <w:top w:val="none" w:sz="0" w:space="0" w:color="auto"/>
            <w:left w:val="none" w:sz="0" w:space="0" w:color="auto"/>
            <w:bottom w:val="none" w:sz="0" w:space="0" w:color="auto"/>
            <w:right w:val="none" w:sz="0" w:space="0" w:color="auto"/>
          </w:divBdr>
        </w:div>
        <w:div w:id="882015586">
          <w:marLeft w:val="547"/>
          <w:marRight w:val="0"/>
          <w:marTop w:val="0"/>
          <w:marBottom w:val="0"/>
          <w:divBdr>
            <w:top w:val="none" w:sz="0" w:space="0" w:color="auto"/>
            <w:left w:val="none" w:sz="0" w:space="0" w:color="auto"/>
            <w:bottom w:val="none" w:sz="0" w:space="0" w:color="auto"/>
            <w:right w:val="none" w:sz="0" w:space="0" w:color="auto"/>
          </w:divBdr>
        </w:div>
        <w:div w:id="914164871">
          <w:marLeft w:val="547"/>
          <w:marRight w:val="0"/>
          <w:marTop w:val="0"/>
          <w:marBottom w:val="0"/>
          <w:divBdr>
            <w:top w:val="none" w:sz="0" w:space="0" w:color="auto"/>
            <w:left w:val="none" w:sz="0" w:space="0" w:color="auto"/>
            <w:bottom w:val="none" w:sz="0" w:space="0" w:color="auto"/>
            <w:right w:val="none" w:sz="0" w:space="0" w:color="auto"/>
          </w:divBdr>
        </w:div>
        <w:div w:id="1225406103">
          <w:marLeft w:val="547"/>
          <w:marRight w:val="0"/>
          <w:marTop w:val="0"/>
          <w:marBottom w:val="0"/>
          <w:divBdr>
            <w:top w:val="none" w:sz="0" w:space="0" w:color="auto"/>
            <w:left w:val="none" w:sz="0" w:space="0" w:color="auto"/>
            <w:bottom w:val="none" w:sz="0" w:space="0" w:color="auto"/>
            <w:right w:val="none" w:sz="0" w:space="0" w:color="auto"/>
          </w:divBdr>
        </w:div>
        <w:div w:id="1413548986">
          <w:marLeft w:val="547"/>
          <w:marRight w:val="0"/>
          <w:marTop w:val="0"/>
          <w:marBottom w:val="0"/>
          <w:divBdr>
            <w:top w:val="none" w:sz="0" w:space="0" w:color="auto"/>
            <w:left w:val="none" w:sz="0" w:space="0" w:color="auto"/>
            <w:bottom w:val="none" w:sz="0" w:space="0" w:color="auto"/>
            <w:right w:val="none" w:sz="0" w:space="0" w:color="auto"/>
          </w:divBdr>
        </w:div>
        <w:div w:id="1765883929">
          <w:marLeft w:val="547"/>
          <w:marRight w:val="0"/>
          <w:marTop w:val="0"/>
          <w:marBottom w:val="0"/>
          <w:divBdr>
            <w:top w:val="none" w:sz="0" w:space="0" w:color="auto"/>
            <w:left w:val="none" w:sz="0" w:space="0" w:color="auto"/>
            <w:bottom w:val="none" w:sz="0" w:space="0" w:color="auto"/>
            <w:right w:val="none" w:sz="0" w:space="0" w:color="auto"/>
          </w:divBdr>
        </w:div>
        <w:div w:id="1862471556">
          <w:marLeft w:val="547"/>
          <w:marRight w:val="0"/>
          <w:marTop w:val="0"/>
          <w:marBottom w:val="0"/>
          <w:divBdr>
            <w:top w:val="none" w:sz="0" w:space="0" w:color="auto"/>
            <w:left w:val="none" w:sz="0" w:space="0" w:color="auto"/>
            <w:bottom w:val="none" w:sz="0" w:space="0" w:color="auto"/>
            <w:right w:val="none" w:sz="0" w:space="0" w:color="auto"/>
          </w:divBdr>
        </w:div>
        <w:div w:id="2031449272">
          <w:marLeft w:val="547"/>
          <w:marRight w:val="0"/>
          <w:marTop w:val="0"/>
          <w:marBottom w:val="0"/>
          <w:divBdr>
            <w:top w:val="none" w:sz="0" w:space="0" w:color="auto"/>
            <w:left w:val="none" w:sz="0" w:space="0" w:color="auto"/>
            <w:bottom w:val="none" w:sz="0" w:space="0" w:color="auto"/>
            <w:right w:val="none" w:sz="0" w:space="0" w:color="auto"/>
          </w:divBdr>
        </w:div>
        <w:div w:id="2105489555">
          <w:marLeft w:val="547"/>
          <w:marRight w:val="0"/>
          <w:marTop w:val="0"/>
          <w:marBottom w:val="0"/>
          <w:divBdr>
            <w:top w:val="none" w:sz="0" w:space="0" w:color="auto"/>
            <w:left w:val="none" w:sz="0" w:space="0" w:color="auto"/>
            <w:bottom w:val="none" w:sz="0" w:space="0" w:color="auto"/>
            <w:right w:val="none" w:sz="0" w:space="0" w:color="auto"/>
          </w:divBdr>
        </w:div>
      </w:divsChild>
    </w:div>
    <w:div w:id="213081017">
      <w:bodyDiv w:val="1"/>
      <w:marLeft w:val="0"/>
      <w:marRight w:val="0"/>
      <w:marTop w:val="0"/>
      <w:marBottom w:val="0"/>
      <w:divBdr>
        <w:top w:val="none" w:sz="0" w:space="0" w:color="auto"/>
        <w:left w:val="none" w:sz="0" w:space="0" w:color="auto"/>
        <w:bottom w:val="none" w:sz="0" w:space="0" w:color="auto"/>
        <w:right w:val="none" w:sz="0" w:space="0" w:color="auto"/>
      </w:divBdr>
    </w:div>
    <w:div w:id="224265294">
      <w:bodyDiv w:val="1"/>
      <w:marLeft w:val="0"/>
      <w:marRight w:val="0"/>
      <w:marTop w:val="0"/>
      <w:marBottom w:val="0"/>
      <w:divBdr>
        <w:top w:val="none" w:sz="0" w:space="0" w:color="auto"/>
        <w:left w:val="none" w:sz="0" w:space="0" w:color="auto"/>
        <w:bottom w:val="none" w:sz="0" w:space="0" w:color="auto"/>
        <w:right w:val="none" w:sz="0" w:space="0" w:color="auto"/>
      </w:divBdr>
    </w:div>
    <w:div w:id="280234549">
      <w:bodyDiv w:val="1"/>
      <w:marLeft w:val="0"/>
      <w:marRight w:val="0"/>
      <w:marTop w:val="0"/>
      <w:marBottom w:val="0"/>
      <w:divBdr>
        <w:top w:val="none" w:sz="0" w:space="0" w:color="auto"/>
        <w:left w:val="none" w:sz="0" w:space="0" w:color="auto"/>
        <w:bottom w:val="none" w:sz="0" w:space="0" w:color="auto"/>
        <w:right w:val="none" w:sz="0" w:space="0" w:color="auto"/>
      </w:divBdr>
    </w:div>
    <w:div w:id="285694693">
      <w:bodyDiv w:val="1"/>
      <w:marLeft w:val="0"/>
      <w:marRight w:val="0"/>
      <w:marTop w:val="0"/>
      <w:marBottom w:val="0"/>
      <w:divBdr>
        <w:top w:val="none" w:sz="0" w:space="0" w:color="auto"/>
        <w:left w:val="none" w:sz="0" w:space="0" w:color="auto"/>
        <w:bottom w:val="none" w:sz="0" w:space="0" w:color="auto"/>
        <w:right w:val="none" w:sz="0" w:space="0" w:color="auto"/>
      </w:divBdr>
      <w:divsChild>
        <w:div w:id="129976439">
          <w:marLeft w:val="547"/>
          <w:marRight w:val="0"/>
          <w:marTop w:val="0"/>
          <w:marBottom w:val="0"/>
          <w:divBdr>
            <w:top w:val="none" w:sz="0" w:space="0" w:color="auto"/>
            <w:left w:val="none" w:sz="0" w:space="0" w:color="auto"/>
            <w:bottom w:val="none" w:sz="0" w:space="0" w:color="auto"/>
            <w:right w:val="none" w:sz="0" w:space="0" w:color="auto"/>
          </w:divBdr>
        </w:div>
        <w:div w:id="139999500">
          <w:marLeft w:val="547"/>
          <w:marRight w:val="0"/>
          <w:marTop w:val="0"/>
          <w:marBottom w:val="0"/>
          <w:divBdr>
            <w:top w:val="none" w:sz="0" w:space="0" w:color="auto"/>
            <w:left w:val="none" w:sz="0" w:space="0" w:color="auto"/>
            <w:bottom w:val="none" w:sz="0" w:space="0" w:color="auto"/>
            <w:right w:val="none" w:sz="0" w:space="0" w:color="auto"/>
          </w:divBdr>
        </w:div>
        <w:div w:id="193202562">
          <w:marLeft w:val="547"/>
          <w:marRight w:val="0"/>
          <w:marTop w:val="0"/>
          <w:marBottom w:val="0"/>
          <w:divBdr>
            <w:top w:val="none" w:sz="0" w:space="0" w:color="auto"/>
            <w:left w:val="none" w:sz="0" w:space="0" w:color="auto"/>
            <w:bottom w:val="none" w:sz="0" w:space="0" w:color="auto"/>
            <w:right w:val="none" w:sz="0" w:space="0" w:color="auto"/>
          </w:divBdr>
        </w:div>
        <w:div w:id="443379145">
          <w:marLeft w:val="547"/>
          <w:marRight w:val="0"/>
          <w:marTop w:val="0"/>
          <w:marBottom w:val="0"/>
          <w:divBdr>
            <w:top w:val="none" w:sz="0" w:space="0" w:color="auto"/>
            <w:left w:val="none" w:sz="0" w:space="0" w:color="auto"/>
            <w:bottom w:val="none" w:sz="0" w:space="0" w:color="auto"/>
            <w:right w:val="none" w:sz="0" w:space="0" w:color="auto"/>
          </w:divBdr>
        </w:div>
        <w:div w:id="754085026">
          <w:marLeft w:val="547"/>
          <w:marRight w:val="0"/>
          <w:marTop w:val="0"/>
          <w:marBottom w:val="0"/>
          <w:divBdr>
            <w:top w:val="none" w:sz="0" w:space="0" w:color="auto"/>
            <w:left w:val="none" w:sz="0" w:space="0" w:color="auto"/>
            <w:bottom w:val="none" w:sz="0" w:space="0" w:color="auto"/>
            <w:right w:val="none" w:sz="0" w:space="0" w:color="auto"/>
          </w:divBdr>
        </w:div>
        <w:div w:id="1331909753">
          <w:marLeft w:val="547"/>
          <w:marRight w:val="0"/>
          <w:marTop w:val="0"/>
          <w:marBottom w:val="0"/>
          <w:divBdr>
            <w:top w:val="none" w:sz="0" w:space="0" w:color="auto"/>
            <w:left w:val="none" w:sz="0" w:space="0" w:color="auto"/>
            <w:bottom w:val="none" w:sz="0" w:space="0" w:color="auto"/>
            <w:right w:val="none" w:sz="0" w:space="0" w:color="auto"/>
          </w:divBdr>
        </w:div>
        <w:div w:id="1698771313">
          <w:marLeft w:val="547"/>
          <w:marRight w:val="0"/>
          <w:marTop w:val="0"/>
          <w:marBottom w:val="0"/>
          <w:divBdr>
            <w:top w:val="none" w:sz="0" w:space="0" w:color="auto"/>
            <w:left w:val="none" w:sz="0" w:space="0" w:color="auto"/>
            <w:bottom w:val="none" w:sz="0" w:space="0" w:color="auto"/>
            <w:right w:val="none" w:sz="0" w:space="0" w:color="auto"/>
          </w:divBdr>
        </w:div>
        <w:div w:id="2122606147">
          <w:marLeft w:val="547"/>
          <w:marRight w:val="0"/>
          <w:marTop w:val="0"/>
          <w:marBottom w:val="0"/>
          <w:divBdr>
            <w:top w:val="none" w:sz="0" w:space="0" w:color="auto"/>
            <w:left w:val="none" w:sz="0" w:space="0" w:color="auto"/>
            <w:bottom w:val="none" w:sz="0" w:space="0" w:color="auto"/>
            <w:right w:val="none" w:sz="0" w:space="0" w:color="auto"/>
          </w:divBdr>
        </w:div>
      </w:divsChild>
    </w:div>
    <w:div w:id="335614960">
      <w:bodyDiv w:val="1"/>
      <w:marLeft w:val="0"/>
      <w:marRight w:val="0"/>
      <w:marTop w:val="0"/>
      <w:marBottom w:val="0"/>
      <w:divBdr>
        <w:top w:val="none" w:sz="0" w:space="0" w:color="auto"/>
        <w:left w:val="none" w:sz="0" w:space="0" w:color="auto"/>
        <w:bottom w:val="none" w:sz="0" w:space="0" w:color="auto"/>
        <w:right w:val="none" w:sz="0" w:space="0" w:color="auto"/>
      </w:divBdr>
      <w:divsChild>
        <w:div w:id="205143520">
          <w:marLeft w:val="547"/>
          <w:marRight w:val="0"/>
          <w:marTop w:val="0"/>
          <w:marBottom w:val="0"/>
          <w:divBdr>
            <w:top w:val="none" w:sz="0" w:space="0" w:color="auto"/>
            <w:left w:val="none" w:sz="0" w:space="0" w:color="auto"/>
            <w:bottom w:val="none" w:sz="0" w:space="0" w:color="auto"/>
            <w:right w:val="none" w:sz="0" w:space="0" w:color="auto"/>
          </w:divBdr>
        </w:div>
        <w:div w:id="1410348867">
          <w:marLeft w:val="547"/>
          <w:marRight w:val="0"/>
          <w:marTop w:val="0"/>
          <w:marBottom w:val="0"/>
          <w:divBdr>
            <w:top w:val="none" w:sz="0" w:space="0" w:color="auto"/>
            <w:left w:val="none" w:sz="0" w:space="0" w:color="auto"/>
            <w:bottom w:val="none" w:sz="0" w:space="0" w:color="auto"/>
            <w:right w:val="none" w:sz="0" w:space="0" w:color="auto"/>
          </w:divBdr>
        </w:div>
        <w:div w:id="1596203801">
          <w:marLeft w:val="547"/>
          <w:marRight w:val="0"/>
          <w:marTop w:val="0"/>
          <w:marBottom w:val="0"/>
          <w:divBdr>
            <w:top w:val="none" w:sz="0" w:space="0" w:color="auto"/>
            <w:left w:val="none" w:sz="0" w:space="0" w:color="auto"/>
            <w:bottom w:val="none" w:sz="0" w:space="0" w:color="auto"/>
            <w:right w:val="none" w:sz="0" w:space="0" w:color="auto"/>
          </w:divBdr>
        </w:div>
      </w:divsChild>
    </w:div>
    <w:div w:id="410742238">
      <w:bodyDiv w:val="1"/>
      <w:marLeft w:val="0"/>
      <w:marRight w:val="0"/>
      <w:marTop w:val="0"/>
      <w:marBottom w:val="0"/>
      <w:divBdr>
        <w:top w:val="none" w:sz="0" w:space="0" w:color="auto"/>
        <w:left w:val="none" w:sz="0" w:space="0" w:color="auto"/>
        <w:bottom w:val="none" w:sz="0" w:space="0" w:color="auto"/>
        <w:right w:val="none" w:sz="0" w:space="0" w:color="auto"/>
      </w:divBdr>
    </w:div>
    <w:div w:id="675614873">
      <w:bodyDiv w:val="1"/>
      <w:marLeft w:val="0"/>
      <w:marRight w:val="0"/>
      <w:marTop w:val="0"/>
      <w:marBottom w:val="0"/>
      <w:divBdr>
        <w:top w:val="none" w:sz="0" w:space="0" w:color="auto"/>
        <w:left w:val="none" w:sz="0" w:space="0" w:color="auto"/>
        <w:bottom w:val="none" w:sz="0" w:space="0" w:color="auto"/>
        <w:right w:val="none" w:sz="0" w:space="0" w:color="auto"/>
      </w:divBdr>
      <w:divsChild>
        <w:div w:id="1035078274">
          <w:marLeft w:val="547"/>
          <w:marRight w:val="0"/>
          <w:marTop w:val="0"/>
          <w:marBottom w:val="0"/>
          <w:divBdr>
            <w:top w:val="none" w:sz="0" w:space="0" w:color="auto"/>
            <w:left w:val="none" w:sz="0" w:space="0" w:color="auto"/>
            <w:bottom w:val="none" w:sz="0" w:space="0" w:color="auto"/>
            <w:right w:val="none" w:sz="0" w:space="0" w:color="auto"/>
          </w:divBdr>
        </w:div>
        <w:div w:id="1497305232">
          <w:marLeft w:val="547"/>
          <w:marRight w:val="0"/>
          <w:marTop w:val="0"/>
          <w:marBottom w:val="0"/>
          <w:divBdr>
            <w:top w:val="none" w:sz="0" w:space="0" w:color="auto"/>
            <w:left w:val="none" w:sz="0" w:space="0" w:color="auto"/>
            <w:bottom w:val="none" w:sz="0" w:space="0" w:color="auto"/>
            <w:right w:val="none" w:sz="0" w:space="0" w:color="auto"/>
          </w:divBdr>
        </w:div>
      </w:divsChild>
    </w:div>
    <w:div w:id="691802013">
      <w:bodyDiv w:val="1"/>
      <w:marLeft w:val="0"/>
      <w:marRight w:val="0"/>
      <w:marTop w:val="0"/>
      <w:marBottom w:val="0"/>
      <w:divBdr>
        <w:top w:val="none" w:sz="0" w:space="0" w:color="auto"/>
        <w:left w:val="none" w:sz="0" w:space="0" w:color="auto"/>
        <w:bottom w:val="none" w:sz="0" w:space="0" w:color="auto"/>
        <w:right w:val="none" w:sz="0" w:space="0" w:color="auto"/>
      </w:divBdr>
      <w:divsChild>
        <w:div w:id="1502505425">
          <w:marLeft w:val="547"/>
          <w:marRight w:val="0"/>
          <w:marTop w:val="0"/>
          <w:marBottom w:val="0"/>
          <w:divBdr>
            <w:top w:val="none" w:sz="0" w:space="0" w:color="auto"/>
            <w:left w:val="none" w:sz="0" w:space="0" w:color="auto"/>
            <w:bottom w:val="none" w:sz="0" w:space="0" w:color="auto"/>
            <w:right w:val="none" w:sz="0" w:space="0" w:color="auto"/>
          </w:divBdr>
        </w:div>
        <w:div w:id="1515151804">
          <w:marLeft w:val="547"/>
          <w:marRight w:val="0"/>
          <w:marTop w:val="0"/>
          <w:marBottom w:val="0"/>
          <w:divBdr>
            <w:top w:val="none" w:sz="0" w:space="0" w:color="auto"/>
            <w:left w:val="none" w:sz="0" w:space="0" w:color="auto"/>
            <w:bottom w:val="none" w:sz="0" w:space="0" w:color="auto"/>
            <w:right w:val="none" w:sz="0" w:space="0" w:color="auto"/>
          </w:divBdr>
        </w:div>
        <w:div w:id="1555307933">
          <w:marLeft w:val="547"/>
          <w:marRight w:val="0"/>
          <w:marTop w:val="0"/>
          <w:marBottom w:val="0"/>
          <w:divBdr>
            <w:top w:val="none" w:sz="0" w:space="0" w:color="auto"/>
            <w:left w:val="none" w:sz="0" w:space="0" w:color="auto"/>
            <w:bottom w:val="none" w:sz="0" w:space="0" w:color="auto"/>
            <w:right w:val="none" w:sz="0" w:space="0" w:color="auto"/>
          </w:divBdr>
        </w:div>
        <w:div w:id="1577936067">
          <w:marLeft w:val="547"/>
          <w:marRight w:val="0"/>
          <w:marTop w:val="0"/>
          <w:marBottom w:val="0"/>
          <w:divBdr>
            <w:top w:val="none" w:sz="0" w:space="0" w:color="auto"/>
            <w:left w:val="none" w:sz="0" w:space="0" w:color="auto"/>
            <w:bottom w:val="none" w:sz="0" w:space="0" w:color="auto"/>
            <w:right w:val="none" w:sz="0" w:space="0" w:color="auto"/>
          </w:divBdr>
        </w:div>
        <w:div w:id="1943150060">
          <w:marLeft w:val="547"/>
          <w:marRight w:val="0"/>
          <w:marTop w:val="0"/>
          <w:marBottom w:val="0"/>
          <w:divBdr>
            <w:top w:val="none" w:sz="0" w:space="0" w:color="auto"/>
            <w:left w:val="none" w:sz="0" w:space="0" w:color="auto"/>
            <w:bottom w:val="none" w:sz="0" w:space="0" w:color="auto"/>
            <w:right w:val="none" w:sz="0" w:space="0" w:color="auto"/>
          </w:divBdr>
        </w:div>
      </w:divsChild>
    </w:div>
    <w:div w:id="870918129">
      <w:bodyDiv w:val="1"/>
      <w:marLeft w:val="0"/>
      <w:marRight w:val="0"/>
      <w:marTop w:val="0"/>
      <w:marBottom w:val="0"/>
      <w:divBdr>
        <w:top w:val="none" w:sz="0" w:space="0" w:color="auto"/>
        <w:left w:val="none" w:sz="0" w:space="0" w:color="auto"/>
        <w:bottom w:val="none" w:sz="0" w:space="0" w:color="auto"/>
        <w:right w:val="none" w:sz="0" w:space="0" w:color="auto"/>
      </w:divBdr>
      <w:divsChild>
        <w:div w:id="127742020">
          <w:marLeft w:val="547"/>
          <w:marRight w:val="0"/>
          <w:marTop w:val="0"/>
          <w:marBottom w:val="0"/>
          <w:divBdr>
            <w:top w:val="none" w:sz="0" w:space="0" w:color="auto"/>
            <w:left w:val="none" w:sz="0" w:space="0" w:color="auto"/>
            <w:bottom w:val="none" w:sz="0" w:space="0" w:color="auto"/>
            <w:right w:val="none" w:sz="0" w:space="0" w:color="auto"/>
          </w:divBdr>
        </w:div>
        <w:div w:id="424960675">
          <w:marLeft w:val="547"/>
          <w:marRight w:val="0"/>
          <w:marTop w:val="0"/>
          <w:marBottom w:val="0"/>
          <w:divBdr>
            <w:top w:val="none" w:sz="0" w:space="0" w:color="auto"/>
            <w:left w:val="none" w:sz="0" w:space="0" w:color="auto"/>
            <w:bottom w:val="none" w:sz="0" w:space="0" w:color="auto"/>
            <w:right w:val="none" w:sz="0" w:space="0" w:color="auto"/>
          </w:divBdr>
        </w:div>
        <w:div w:id="682897412">
          <w:marLeft w:val="547"/>
          <w:marRight w:val="0"/>
          <w:marTop w:val="0"/>
          <w:marBottom w:val="0"/>
          <w:divBdr>
            <w:top w:val="none" w:sz="0" w:space="0" w:color="auto"/>
            <w:left w:val="none" w:sz="0" w:space="0" w:color="auto"/>
            <w:bottom w:val="none" w:sz="0" w:space="0" w:color="auto"/>
            <w:right w:val="none" w:sz="0" w:space="0" w:color="auto"/>
          </w:divBdr>
        </w:div>
        <w:div w:id="1200776227">
          <w:marLeft w:val="547"/>
          <w:marRight w:val="0"/>
          <w:marTop w:val="0"/>
          <w:marBottom w:val="0"/>
          <w:divBdr>
            <w:top w:val="none" w:sz="0" w:space="0" w:color="auto"/>
            <w:left w:val="none" w:sz="0" w:space="0" w:color="auto"/>
            <w:bottom w:val="none" w:sz="0" w:space="0" w:color="auto"/>
            <w:right w:val="none" w:sz="0" w:space="0" w:color="auto"/>
          </w:divBdr>
        </w:div>
        <w:div w:id="2136632892">
          <w:marLeft w:val="547"/>
          <w:marRight w:val="0"/>
          <w:marTop w:val="0"/>
          <w:marBottom w:val="0"/>
          <w:divBdr>
            <w:top w:val="none" w:sz="0" w:space="0" w:color="auto"/>
            <w:left w:val="none" w:sz="0" w:space="0" w:color="auto"/>
            <w:bottom w:val="none" w:sz="0" w:space="0" w:color="auto"/>
            <w:right w:val="none" w:sz="0" w:space="0" w:color="auto"/>
          </w:divBdr>
        </w:div>
      </w:divsChild>
    </w:div>
    <w:div w:id="995450781">
      <w:bodyDiv w:val="1"/>
      <w:marLeft w:val="0"/>
      <w:marRight w:val="0"/>
      <w:marTop w:val="0"/>
      <w:marBottom w:val="0"/>
      <w:divBdr>
        <w:top w:val="none" w:sz="0" w:space="0" w:color="auto"/>
        <w:left w:val="none" w:sz="0" w:space="0" w:color="auto"/>
        <w:bottom w:val="none" w:sz="0" w:space="0" w:color="auto"/>
        <w:right w:val="none" w:sz="0" w:space="0" w:color="auto"/>
      </w:divBdr>
    </w:div>
    <w:div w:id="1053116344">
      <w:bodyDiv w:val="1"/>
      <w:marLeft w:val="0"/>
      <w:marRight w:val="0"/>
      <w:marTop w:val="0"/>
      <w:marBottom w:val="0"/>
      <w:divBdr>
        <w:top w:val="none" w:sz="0" w:space="0" w:color="auto"/>
        <w:left w:val="none" w:sz="0" w:space="0" w:color="auto"/>
        <w:bottom w:val="none" w:sz="0" w:space="0" w:color="auto"/>
        <w:right w:val="none" w:sz="0" w:space="0" w:color="auto"/>
      </w:divBdr>
      <w:divsChild>
        <w:div w:id="280377209">
          <w:marLeft w:val="547"/>
          <w:marRight w:val="0"/>
          <w:marTop w:val="0"/>
          <w:marBottom w:val="0"/>
          <w:divBdr>
            <w:top w:val="none" w:sz="0" w:space="0" w:color="auto"/>
            <w:left w:val="none" w:sz="0" w:space="0" w:color="auto"/>
            <w:bottom w:val="none" w:sz="0" w:space="0" w:color="auto"/>
            <w:right w:val="none" w:sz="0" w:space="0" w:color="auto"/>
          </w:divBdr>
        </w:div>
        <w:div w:id="535167634">
          <w:marLeft w:val="547"/>
          <w:marRight w:val="0"/>
          <w:marTop w:val="0"/>
          <w:marBottom w:val="0"/>
          <w:divBdr>
            <w:top w:val="none" w:sz="0" w:space="0" w:color="auto"/>
            <w:left w:val="none" w:sz="0" w:space="0" w:color="auto"/>
            <w:bottom w:val="none" w:sz="0" w:space="0" w:color="auto"/>
            <w:right w:val="none" w:sz="0" w:space="0" w:color="auto"/>
          </w:divBdr>
        </w:div>
        <w:div w:id="760369846">
          <w:marLeft w:val="547"/>
          <w:marRight w:val="0"/>
          <w:marTop w:val="0"/>
          <w:marBottom w:val="0"/>
          <w:divBdr>
            <w:top w:val="none" w:sz="0" w:space="0" w:color="auto"/>
            <w:left w:val="none" w:sz="0" w:space="0" w:color="auto"/>
            <w:bottom w:val="none" w:sz="0" w:space="0" w:color="auto"/>
            <w:right w:val="none" w:sz="0" w:space="0" w:color="auto"/>
          </w:divBdr>
        </w:div>
      </w:divsChild>
    </w:div>
    <w:div w:id="1068384136">
      <w:bodyDiv w:val="1"/>
      <w:marLeft w:val="0"/>
      <w:marRight w:val="0"/>
      <w:marTop w:val="0"/>
      <w:marBottom w:val="0"/>
      <w:divBdr>
        <w:top w:val="none" w:sz="0" w:space="0" w:color="auto"/>
        <w:left w:val="none" w:sz="0" w:space="0" w:color="auto"/>
        <w:bottom w:val="none" w:sz="0" w:space="0" w:color="auto"/>
        <w:right w:val="none" w:sz="0" w:space="0" w:color="auto"/>
      </w:divBdr>
      <w:divsChild>
        <w:div w:id="13918405">
          <w:marLeft w:val="547"/>
          <w:marRight w:val="0"/>
          <w:marTop w:val="0"/>
          <w:marBottom w:val="0"/>
          <w:divBdr>
            <w:top w:val="none" w:sz="0" w:space="0" w:color="auto"/>
            <w:left w:val="none" w:sz="0" w:space="0" w:color="auto"/>
            <w:bottom w:val="none" w:sz="0" w:space="0" w:color="auto"/>
            <w:right w:val="none" w:sz="0" w:space="0" w:color="auto"/>
          </w:divBdr>
        </w:div>
        <w:div w:id="647394248">
          <w:marLeft w:val="547"/>
          <w:marRight w:val="0"/>
          <w:marTop w:val="0"/>
          <w:marBottom w:val="0"/>
          <w:divBdr>
            <w:top w:val="none" w:sz="0" w:space="0" w:color="auto"/>
            <w:left w:val="none" w:sz="0" w:space="0" w:color="auto"/>
            <w:bottom w:val="none" w:sz="0" w:space="0" w:color="auto"/>
            <w:right w:val="none" w:sz="0" w:space="0" w:color="auto"/>
          </w:divBdr>
        </w:div>
        <w:div w:id="1594053086">
          <w:marLeft w:val="547"/>
          <w:marRight w:val="0"/>
          <w:marTop w:val="0"/>
          <w:marBottom w:val="0"/>
          <w:divBdr>
            <w:top w:val="none" w:sz="0" w:space="0" w:color="auto"/>
            <w:left w:val="none" w:sz="0" w:space="0" w:color="auto"/>
            <w:bottom w:val="none" w:sz="0" w:space="0" w:color="auto"/>
            <w:right w:val="none" w:sz="0" w:space="0" w:color="auto"/>
          </w:divBdr>
        </w:div>
      </w:divsChild>
    </w:div>
    <w:div w:id="1186554817">
      <w:bodyDiv w:val="1"/>
      <w:marLeft w:val="0"/>
      <w:marRight w:val="0"/>
      <w:marTop w:val="0"/>
      <w:marBottom w:val="0"/>
      <w:divBdr>
        <w:top w:val="none" w:sz="0" w:space="0" w:color="auto"/>
        <w:left w:val="none" w:sz="0" w:space="0" w:color="auto"/>
        <w:bottom w:val="none" w:sz="0" w:space="0" w:color="auto"/>
        <w:right w:val="none" w:sz="0" w:space="0" w:color="auto"/>
      </w:divBdr>
    </w:div>
    <w:div w:id="1429233720">
      <w:bodyDiv w:val="1"/>
      <w:marLeft w:val="0"/>
      <w:marRight w:val="0"/>
      <w:marTop w:val="0"/>
      <w:marBottom w:val="0"/>
      <w:divBdr>
        <w:top w:val="none" w:sz="0" w:space="0" w:color="auto"/>
        <w:left w:val="none" w:sz="0" w:space="0" w:color="auto"/>
        <w:bottom w:val="none" w:sz="0" w:space="0" w:color="auto"/>
        <w:right w:val="none" w:sz="0" w:space="0" w:color="auto"/>
      </w:divBdr>
      <w:divsChild>
        <w:div w:id="82532279">
          <w:marLeft w:val="547"/>
          <w:marRight w:val="0"/>
          <w:marTop w:val="0"/>
          <w:marBottom w:val="0"/>
          <w:divBdr>
            <w:top w:val="none" w:sz="0" w:space="0" w:color="auto"/>
            <w:left w:val="none" w:sz="0" w:space="0" w:color="auto"/>
            <w:bottom w:val="none" w:sz="0" w:space="0" w:color="auto"/>
            <w:right w:val="none" w:sz="0" w:space="0" w:color="auto"/>
          </w:divBdr>
        </w:div>
        <w:div w:id="91634504">
          <w:marLeft w:val="547"/>
          <w:marRight w:val="0"/>
          <w:marTop w:val="0"/>
          <w:marBottom w:val="0"/>
          <w:divBdr>
            <w:top w:val="none" w:sz="0" w:space="0" w:color="auto"/>
            <w:left w:val="none" w:sz="0" w:space="0" w:color="auto"/>
            <w:bottom w:val="none" w:sz="0" w:space="0" w:color="auto"/>
            <w:right w:val="none" w:sz="0" w:space="0" w:color="auto"/>
          </w:divBdr>
        </w:div>
        <w:div w:id="554510003">
          <w:marLeft w:val="547"/>
          <w:marRight w:val="0"/>
          <w:marTop w:val="0"/>
          <w:marBottom w:val="0"/>
          <w:divBdr>
            <w:top w:val="none" w:sz="0" w:space="0" w:color="auto"/>
            <w:left w:val="none" w:sz="0" w:space="0" w:color="auto"/>
            <w:bottom w:val="none" w:sz="0" w:space="0" w:color="auto"/>
            <w:right w:val="none" w:sz="0" w:space="0" w:color="auto"/>
          </w:divBdr>
        </w:div>
      </w:divsChild>
    </w:div>
    <w:div w:id="1436710737">
      <w:bodyDiv w:val="1"/>
      <w:marLeft w:val="0"/>
      <w:marRight w:val="0"/>
      <w:marTop w:val="0"/>
      <w:marBottom w:val="0"/>
      <w:divBdr>
        <w:top w:val="none" w:sz="0" w:space="0" w:color="auto"/>
        <w:left w:val="none" w:sz="0" w:space="0" w:color="auto"/>
        <w:bottom w:val="none" w:sz="0" w:space="0" w:color="auto"/>
        <w:right w:val="none" w:sz="0" w:space="0" w:color="auto"/>
      </w:divBdr>
      <w:divsChild>
        <w:div w:id="155730186">
          <w:marLeft w:val="547"/>
          <w:marRight w:val="0"/>
          <w:marTop w:val="0"/>
          <w:marBottom w:val="0"/>
          <w:divBdr>
            <w:top w:val="none" w:sz="0" w:space="0" w:color="auto"/>
            <w:left w:val="none" w:sz="0" w:space="0" w:color="auto"/>
            <w:bottom w:val="none" w:sz="0" w:space="0" w:color="auto"/>
            <w:right w:val="none" w:sz="0" w:space="0" w:color="auto"/>
          </w:divBdr>
        </w:div>
        <w:div w:id="932011584">
          <w:marLeft w:val="547"/>
          <w:marRight w:val="0"/>
          <w:marTop w:val="0"/>
          <w:marBottom w:val="0"/>
          <w:divBdr>
            <w:top w:val="none" w:sz="0" w:space="0" w:color="auto"/>
            <w:left w:val="none" w:sz="0" w:space="0" w:color="auto"/>
            <w:bottom w:val="none" w:sz="0" w:space="0" w:color="auto"/>
            <w:right w:val="none" w:sz="0" w:space="0" w:color="auto"/>
          </w:divBdr>
        </w:div>
        <w:div w:id="1445003433">
          <w:marLeft w:val="547"/>
          <w:marRight w:val="0"/>
          <w:marTop w:val="0"/>
          <w:marBottom w:val="0"/>
          <w:divBdr>
            <w:top w:val="none" w:sz="0" w:space="0" w:color="auto"/>
            <w:left w:val="none" w:sz="0" w:space="0" w:color="auto"/>
            <w:bottom w:val="none" w:sz="0" w:space="0" w:color="auto"/>
            <w:right w:val="none" w:sz="0" w:space="0" w:color="auto"/>
          </w:divBdr>
        </w:div>
        <w:div w:id="2146847708">
          <w:marLeft w:val="547"/>
          <w:marRight w:val="0"/>
          <w:marTop w:val="0"/>
          <w:marBottom w:val="0"/>
          <w:divBdr>
            <w:top w:val="none" w:sz="0" w:space="0" w:color="auto"/>
            <w:left w:val="none" w:sz="0" w:space="0" w:color="auto"/>
            <w:bottom w:val="none" w:sz="0" w:space="0" w:color="auto"/>
            <w:right w:val="none" w:sz="0" w:space="0" w:color="auto"/>
          </w:divBdr>
        </w:div>
      </w:divsChild>
    </w:div>
    <w:div w:id="1472360079">
      <w:bodyDiv w:val="1"/>
      <w:marLeft w:val="0"/>
      <w:marRight w:val="0"/>
      <w:marTop w:val="0"/>
      <w:marBottom w:val="0"/>
      <w:divBdr>
        <w:top w:val="none" w:sz="0" w:space="0" w:color="auto"/>
        <w:left w:val="none" w:sz="0" w:space="0" w:color="auto"/>
        <w:bottom w:val="none" w:sz="0" w:space="0" w:color="auto"/>
        <w:right w:val="none" w:sz="0" w:space="0" w:color="auto"/>
      </w:divBdr>
    </w:div>
    <w:div w:id="1585914380">
      <w:bodyDiv w:val="1"/>
      <w:marLeft w:val="0"/>
      <w:marRight w:val="0"/>
      <w:marTop w:val="0"/>
      <w:marBottom w:val="0"/>
      <w:divBdr>
        <w:top w:val="none" w:sz="0" w:space="0" w:color="auto"/>
        <w:left w:val="none" w:sz="0" w:space="0" w:color="auto"/>
        <w:bottom w:val="none" w:sz="0" w:space="0" w:color="auto"/>
        <w:right w:val="none" w:sz="0" w:space="0" w:color="auto"/>
      </w:divBdr>
    </w:div>
    <w:div w:id="1587110089">
      <w:bodyDiv w:val="1"/>
      <w:marLeft w:val="0"/>
      <w:marRight w:val="0"/>
      <w:marTop w:val="0"/>
      <w:marBottom w:val="0"/>
      <w:divBdr>
        <w:top w:val="none" w:sz="0" w:space="0" w:color="auto"/>
        <w:left w:val="none" w:sz="0" w:space="0" w:color="auto"/>
        <w:bottom w:val="none" w:sz="0" w:space="0" w:color="auto"/>
        <w:right w:val="none" w:sz="0" w:space="0" w:color="auto"/>
      </w:divBdr>
      <w:divsChild>
        <w:div w:id="8141617">
          <w:marLeft w:val="547"/>
          <w:marRight w:val="0"/>
          <w:marTop w:val="0"/>
          <w:marBottom w:val="0"/>
          <w:divBdr>
            <w:top w:val="none" w:sz="0" w:space="0" w:color="auto"/>
            <w:left w:val="none" w:sz="0" w:space="0" w:color="auto"/>
            <w:bottom w:val="none" w:sz="0" w:space="0" w:color="auto"/>
            <w:right w:val="none" w:sz="0" w:space="0" w:color="auto"/>
          </w:divBdr>
        </w:div>
        <w:div w:id="606274524">
          <w:marLeft w:val="547"/>
          <w:marRight w:val="0"/>
          <w:marTop w:val="0"/>
          <w:marBottom w:val="0"/>
          <w:divBdr>
            <w:top w:val="none" w:sz="0" w:space="0" w:color="auto"/>
            <w:left w:val="none" w:sz="0" w:space="0" w:color="auto"/>
            <w:bottom w:val="none" w:sz="0" w:space="0" w:color="auto"/>
            <w:right w:val="none" w:sz="0" w:space="0" w:color="auto"/>
          </w:divBdr>
        </w:div>
        <w:div w:id="1136921420">
          <w:marLeft w:val="547"/>
          <w:marRight w:val="0"/>
          <w:marTop w:val="0"/>
          <w:marBottom w:val="0"/>
          <w:divBdr>
            <w:top w:val="none" w:sz="0" w:space="0" w:color="auto"/>
            <w:left w:val="none" w:sz="0" w:space="0" w:color="auto"/>
            <w:bottom w:val="none" w:sz="0" w:space="0" w:color="auto"/>
            <w:right w:val="none" w:sz="0" w:space="0" w:color="auto"/>
          </w:divBdr>
        </w:div>
        <w:div w:id="1474524696">
          <w:marLeft w:val="547"/>
          <w:marRight w:val="0"/>
          <w:marTop w:val="0"/>
          <w:marBottom w:val="0"/>
          <w:divBdr>
            <w:top w:val="none" w:sz="0" w:space="0" w:color="auto"/>
            <w:left w:val="none" w:sz="0" w:space="0" w:color="auto"/>
            <w:bottom w:val="none" w:sz="0" w:space="0" w:color="auto"/>
            <w:right w:val="none" w:sz="0" w:space="0" w:color="auto"/>
          </w:divBdr>
        </w:div>
      </w:divsChild>
    </w:div>
    <w:div w:id="1697927999">
      <w:bodyDiv w:val="1"/>
      <w:marLeft w:val="0"/>
      <w:marRight w:val="0"/>
      <w:marTop w:val="0"/>
      <w:marBottom w:val="0"/>
      <w:divBdr>
        <w:top w:val="none" w:sz="0" w:space="0" w:color="auto"/>
        <w:left w:val="none" w:sz="0" w:space="0" w:color="auto"/>
        <w:bottom w:val="none" w:sz="0" w:space="0" w:color="auto"/>
        <w:right w:val="none" w:sz="0" w:space="0" w:color="auto"/>
      </w:divBdr>
    </w:div>
    <w:div w:id="1863980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s@fsdkenya.or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s@fsdkenya.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transparency@fsdkenya.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Julius.Anyega@fsdkenya.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s@fsdkeny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85fd050-ea86-4a27-aa36-f0dcb78fcbc2">
      <UserInfo>
        <DisplayName>Peter Gakure</DisplayName>
        <AccountId>41</AccountId>
        <AccountType/>
      </UserInfo>
      <UserInfo>
        <DisplayName>Gitau Mburu</DisplayName>
        <AccountId>28</AccountId>
        <AccountType/>
      </UserInfo>
      <UserInfo>
        <DisplayName>Ulla Balle</DisplayName>
        <AccountId>15</AccountId>
        <AccountType/>
      </UserInfo>
      <UserInfo>
        <DisplayName>SharingLinks.90eca881-6226-4dea-83f4-e972cff99042.OrganizationEdit.86ca9d4a-f571-454d-92f4-98ce5ba7b34b</DisplayName>
        <AccountId>68</AccountId>
        <AccountType/>
      </UserInfo>
      <UserInfo>
        <DisplayName>Everyone except external users</DisplayName>
        <AccountId>11</AccountId>
        <AccountType/>
      </UserInfo>
      <UserInfo>
        <DisplayName>All Users (windows)</DisplayName>
        <AccountId>12</AccountId>
        <AccountType/>
      </UserInfo>
      <UserInfo>
        <DisplayName>Amrik Heyer</DisplayName>
        <AccountId>36</AccountId>
        <AccountType/>
      </UserInfo>
      <UserInfo>
        <DisplayName>Hilda Githaiga</DisplayName>
        <AccountId>1587</AccountId>
        <AccountType/>
      </UserInfo>
      <UserInfo>
        <DisplayName>Lukania Geraldine Makunda</DisplayName>
        <AccountId>34</AccountId>
        <AccountType/>
      </UserInfo>
    </SharedWithUsers>
    <TaxCatchAll xmlns="685fd050-ea86-4a27-aa36-f0dcb78fcbc2" xsi:nil="true"/>
    <lcf76f155ced4ddcb4097134ff3c332f xmlns="b606f8d9-974f-4cfa-9343-04872b5bfea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7DDC663FE9E8499B98A90BCC585398" ma:contentTypeVersion="15" ma:contentTypeDescription="Create a new document." ma:contentTypeScope="" ma:versionID="b916a3e93a218ac85e40a093834657d0">
  <xsd:schema xmlns:xsd="http://www.w3.org/2001/XMLSchema" xmlns:xs="http://www.w3.org/2001/XMLSchema" xmlns:p="http://schemas.microsoft.com/office/2006/metadata/properties" xmlns:ns2="b606f8d9-974f-4cfa-9343-04872b5bfea9" xmlns:ns3="685fd050-ea86-4a27-aa36-f0dcb78fcbc2" targetNamespace="http://schemas.microsoft.com/office/2006/metadata/properties" ma:root="true" ma:fieldsID="23b24ef8ab764a548a2d8d8278ef2e84" ns2:_="" ns3:_="">
    <xsd:import namespace="b606f8d9-974f-4cfa-9343-04872b5bfea9"/>
    <xsd:import namespace="685fd050-ea86-4a27-aa36-f0dcb78fcb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06f8d9-974f-4cfa-9343-04872b5bfe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595fba6-4d69-4431-b755-7dd274220767"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5fd050-ea86-4a27-aa36-f0dcb78fcbc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c114e3f-8ebe-4e58-bf53-34fae0f52efb}" ma:internalName="TaxCatchAll" ma:showField="CatchAllData" ma:web="685fd050-ea86-4a27-aa36-f0dcb78fcb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FB04E-3C19-4F76-805D-958ECED25450}">
  <ds:schemaRefs>
    <ds:schemaRef ds:uri="http://schemas.microsoft.com/sharepoint/v3/contenttype/forms"/>
  </ds:schemaRefs>
</ds:datastoreItem>
</file>

<file path=customXml/itemProps2.xml><?xml version="1.0" encoding="utf-8"?>
<ds:datastoreItem xmlns:ds="http://schemas.openxmlformats.org/officeDocument/2006/customXml" ds:itemID="{C6E14346-C231-4F2B-B356-62475F85DED3}">
  <ds:schemaRefs>
    <ds:schemaRef ds:uri="http://schemas.microsoft.com/office/2006/metadata/properties"/>
    <ds:schemaRef ds:uri="http://schemas.microsoft.com/office/infopath/2007/PartnerControls"/>
    <ds:schemaRef ds:uri="685fd050-ea86-4a27-aa36-f0dcb78fcbc2"/>
    <ds:schemaRef ds:uri="b606f8d9-974f-4cfa-9343-04872b5bfea9"/>
  </ds:schemaRefs>
</ds:datastoreItem>
</file>

<file path=customXml/itemProps3.xml><?xml version="1.0" encoding="utf-8"?>
<ds:datastoreItem xmlns:ds="http://schemas.openxmlformats.org/officeDocument/2006/customXml" ds:itemID="{A8D8688A-A7F0-4BF4-843E-8ECCDB0DEB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06f8d9-974f-4cfa-9343-04872b5bfea9"/>
    <ds:schemaRef ds:uri="685fd050-ea86-4a27-aa36-f0dcb78fc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A6E893-38F3-4E77-9416-E85095F65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7</Pages>
  <Words>3168</Words>
  <Characters>18062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Ferrand</dc:creator>
  <cp:keywords/>
  <dc:description/>
  <cp:lastModifiedBy>Boniface Mbithi</cp:lastModifiedBy>
  <cp:revision>6</cp:revision>
  <dcterms:created xsi:type="dcterms:W3CDTF">2023-05-30T12:09:00Z</dcterms:created>
  <dcterms:modified xsi:type="dcterms:W3CDTF">2023-06-07T11:17:00Z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0x010100547DDC663FE9E8499B98A90BCC585398</vt:lpwstr>
  </property>
  <property fmtid="{D5CDD505-2E9C-101B-9397-08002B2CF9AE}" pid="3" name="MSIP_Label_e6ced21e-27ff-431c-8fa9-8c102ffb3e37_Enabled">
    <vt:lpwstr>true</vt:lpwstr>
  </property>
  <property fmtid="{D5CDD505-2E9C-101B-9397-08002B2CF9AE}" pid="4" name="MSIP_Label_e6ced21e-27ff-431c-8fa9-8c102ffb3e37_SetDate">
    <vt:lpwstr>2023-05-09T08:27:09Z</vt:lpwstr>
  </property>
  <property fmtid="{D5CDD505-2E9C-101B-9397-08002B2CF9AE}" pid="5" name="MSIP_Label_e6ced21e-27ff-431c-8fa9-8c102ffb3e37_Method">
    <vt:lpwstr>Standard</vt:lpwstr>
  </property>
  <property fmtid="{D5CDD505-2E9C-101B-9397-08002B2CF9AE}" pid="6" name="MSIP_Label_e6ced21e-27ff-431c-8fa9-8c102ffb3e37_Name">
    <vt:lpwstr>defa4170-0d19-0005-0004-bc88714345d2</vt:lpwstr>
  </property>
  <property fmtid="{D5CDD505-2E9C-101B-9397-08002B2CF9AE}" pid="7" name="MSIP_Label_e6ced21e-27ff-431c-8fa9-8c102ffb3e37_SiteId">
    <vt:lpwstr>7d05adbd-7ce1-4932-ab68-1517555f53c2</vt:lpwstr>
  </property>
  <property fmtid="{D5CDD505-2E9C-101B-9397-08002B2CF9AE}" pid="8" name="MSIP_Label_e6ced21e-27ff-431c-8fa9-8c102ffb3e37_ActionId">
    <vt:lpwstr>834d7056-677c-4300-8439-a970b7762d89</vt:lpwstr>
  </property>
  <property fmtid="{D5CDD505-2E9C-101B-9397-08002B2CF9AE}" pid="9" name="MSIP_Label_e6ced21e-27ff-431c-8fa9-8c102ffb3e37_ContentBits">
    <vt:lpwstr>0</vt:lpwstr>
  </property>
  <property fmtid="{D5CDD505-2E9C-101B-9397-08002B2CF9AE}" pid="10" name="MediaServiceImageTags">
    <vt:lpwstr/>
  </property>
</Properties>
</file>